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8A194C" w14:textId="77777777" w:rsidR="00F863EA" w:rsidRDefault="00FA4086">
      <w:pPr>
        <w:spacing w:before="33"/>
        <w:ind w:left="559" w:right="471"/>
        <w:jc w:val="center"/>
        <w:rPr>
          <w:sz w:val="23"/>
        </w:rPr>
      </w:pPr>
      <w:r w:rsidRPr="00AC60E9">
        <w:rPr>
          <w:color w:val="854100"/>
          <w:sz w:val="23"/>
        </w:rPr>
        <w:t>13</w:t>
      </w:r>
      <w:r w:rsidRPr="00AC60E9">
        <w:rPr>
          <w:color w:val="854100"/>
          <w:spacing w:val="2"/>
          <w:sz w:val="23"/>
        </w:rPr>
        <w:t xml:space="preserve"> </w:t>
      </w:r>
      <w:r w:rsidRPr="00AC60E9">
        <w:rPr>
          <w:color w:val="854100"/>
          <w:sz w:val="23"/>
        </w:rPr>
        <w:t>October</w:t>
      </w:r>
      <w:r w:rsidRPr="00AC60E9">
        <w:rPr>
          <w:color w:val="854100"/>
          <w:spacing w:val="2"/>
          <w:sz w:val="23"/>
        </w:rPr>
        <w:t xml:space="preserve"> </w:t>
      </w:r>
      <w:r w:rsidRPr="00AC60E9">
        <w:rPr>
          <w:color w:val="854100"/>
          <w:sz w:val="23"/>
        </w:rPr>
        <w:t>2025</w:t>
      </w:r>
      <w:r w:rsidRPr="00AC60E9">
        <w:rPr>
          <w:color w:val="854100"/>
          <w:spacing w:val="3"/>
          <w:sz w:val="23"/>
        </w:rPr>
        <w:t xml:space="preserve"> </w:t>
      </w:r>
      <w:r w:rsidRPr="00AC60E9">
        <w:rPr>
          <w:color w:val="854100"/>
          <w:sz w:val="23"/>
        </w:rPr>
        <w:t>-</w:t>
      </w:r>
      <w:r w:rsidRPr="00AC60E9">
        <w:rPr>
          <w:color w:val="854100"/>
          <w:spacing w:val="2"/>
          <w:sz w:val="23"/>
        </w:rPr>
        <w:t xml:space="preserve"> </w:t>
      </w:r>
      <w:r w:rsidRPr="00AC60E9">
        <w:rPr>
          <w:color w:val="854100"/>
          <w:sz w:val="23"/>
        </w:rPr>
        <w:t>International</w:t>
      </w:r>
      <w:r w:rsidRPr="00AC60E9">
        <w:rPr>
          <w:color w:val="854100"/>
          <w:spacing w:val="3"/>
          <w:sz w:val="23"/>
        </w:rPr>
        <w:t xml:space="preserve"> </w:t>
      </w:r>
      <w:r w:rsidRPr="00AC60E9">
        <w:rPr>
          <w:color w:val="854100"/>
          <w:sz w:val="23"/>
        </w:rPr>
        <w:t>Day</w:t>
      </w:r>
      <w:r w:rsidRPr="00AC60E9">
        <w:rPr>
          <w:color w:val="854100"/>
          <w:spacing w:val="2"/>
          <w:sz w:val="23"/>
        </w:rPr>
        <w:t xml:space="preserve"> </w:t>
      </w:r>
      <w:r w:rsidRPr="00AC60E9">
        <w:rPr>
          <w:color w:val="854100"/>
          <w:sz w:val="23"/>
        </w:rPr>
        <w:t>for</w:t>
      </w:r>
      <w:r w:rsidRPr="00AC60E9">
        <w:rPr>
          <w:color w:val="854100"/>
          <w:spacing w:val="3"/>
          <w:sz w:val="23"/>
        </w:rPr>
        <w:t xml:space="preserve"> </w:t>
      </w:r>
      <w:r w:rsidRPr="00AC60E9">
        <w:rPr>
          <w:color w:val="854100"/>
          <w:sz w:val="23"/>
        </w:rPr>
        <w:t>Disaster</w:t>
      </w:r>
      <w:r w:rsidRPr="00AC60E9">
        <w:rPr>
          <w:color w:val="854100"/>
          <w:spacing w:val="2"/>
          <w:sz w:val="23"/>
        </w:rPr>
        <w:t xml:space="preserve"> </w:t>
      </w:r>
      <w:r w:rsidRPr="00AC60E9">
        <w:rPr>
          <w:color w:val="854100"/>
          <w:sz w:val="23"/>
        </w:rPr>
        <w:t>Risk</w:t>
      </w:r>
      <w:r w:rsidRPr="00AC60E9">
        <w:rPr>
          <w:color w:val="854100"/>
          <w:spacing w:val="2"/>
          <w:sz w:val="23"/>
        </w:rPr>
        <w:t xml:space="preserve"> </w:t>
      </w:r>
      <w:r w:rsidRPr="00AC60E9">
        <w:rPr>
          <w:color w:val="854100"/>
          <w:spacing w:val="-2"/>
          <w:sz w:val="23"/>
        </w:rPr>
        <w:t>Reduction</w:t>
      </w:r>
    </w:p>
    <w:p w14:paraId="498A194D" w14:textId="77777777" w:rsidR="00F863EA" w:rsidRDefault="00FA4086">
      <w:pPr>
        <w:spacing w:before="180" w:line="290" w:lineRule="auto"/>
        <w:ind w:left="515" w:right="471"/>
        <w:jc w:val="center"/>
        <w:rPr>
          <w:rFonts w:ascii="Trebuchet MS"/>
          <w:b/>
          <w:sz w:val="46"/>
        </w:rPr>
      </w:pPr>
      <w:r>
        <w:rPr>
          <w:rFonts w:ascii="Trebuchet MS"/>
          <w:b/>
          <w:color w:val="575757"/>
          <w:w w:val="110"/>
          <w:sz w:val="46"/>
        </w:rPr>
        <w:t>JOINT</w:t>
      </w:r>
      <w:r>
        <w:rPr>
          <w:rFonts w:ascii="Trebuchet MS"/>
          <w:b/>
          <w:color w:val="575757"/>
          <w:spacing w:val="-55"/>
          <w:w w:val="110"/>
          <w:sz w:val="46"/>
        </w:rPr>
        <w:t xml:space="preserve"> </w:t>
      </w:r>
      <w:r>
        <w:rPr>
          <w:rFonts w:ascii="Trebuchet MS"/>
          <w:b/>
          <w:color w:val="575757"/>
          <w:w w:val="110"/>
          <w:sz w:val="46"/>
        </w:rPr>
        <w:t>POSITION</w:t>
      </w:r>
      <w:r>
        <w:rPr>
          <w:rFonts w:ascii="Trebuchet MS"/>
          <w:b/>
          <w:color w:val="575757"/>
          <w:spacing w:val="-55"/>
          <w:w w:val="110"/>
          <w:sz w:val="46"/>
        </w:rPr>
        <w:t xml:space="preserve"> </w:t>
      </w:r>
      <w:r>
        <w:rPr>
          <w:rFonts w:ascii="Trebuchet MS"/>
          <w:b/>
          <w:color w:val="575757"/>
          <w:w w:val="110"/>
          <w:sz w:val="46"/>
        </w:rPr>
        <w:t>PAPER</w:t>
      </w:r>
      <w:r>
        <w:rPr>
          <w:rFonts w:ascii="Trebuchet MS"/>
          <w:b/>
          <w:color w:val="575757"/>
          <w:spacing w:val="-55"/>
          <w:w w:val="110"/>
          <w:sz w:val="46"/>
        </w:rPr>
        <w:t xml:space="preserve"> </w:t>
      </w:r>
      <w:r>
        <w:rPr>
          <w:rFonts w:ascii="Trebuchet MS"/>
          <w:b/>
          <w:color w:val="575757"/>
          <w:w w:val="110"/>
          <w:sz w:val="46"/>
        </w:rPr>
        <w:t>OF</w:t>
      </w:r>
      <w:r>
        <w:rPr>
          <w:rFonts w:ascii="Trebuchet MS"/>
          <w:b/>
          <w:color w:val="575757"/>
          <w:spacing w:val="-55"/>
          <w:w w:val="110"/>
          <w:sz w:val="46"/>
        </w:rPr>
        <w:t xml:space="preserve"> </w:t>
      </w:r>
      <w:r>
        <w:rPr>
          <w:rFonts w:ascii="Trebuchet MS"/>
          <w:b/>
          <w:color w:val="575757"/>
          <w:w w:val="110"/>
          <w:sz w:val="46"/>
        </w:rPr>
        <w:t>THE PREPAREDNESS</w:t>
      </w:r>
      <w:r>
        <w:rPr>
          <w:rFonts w:ascii="Trebuchet MS"/>
          <w:b/>
          <w:color w:val="575757"/>
          <w:spacing w:val="-55"/>
          <w:w w:val="110"/>
          <w:sz w:val="46"/>
        </w:rPr>
        <w:t xml:space="preserve"> </w:t>
      </w:r>
      <w:r>
        <w:rPr>
          <w:rFonts w:ascii="Trebuchet MS"/>
          <w:b/>
          <w:color w:val="575757"/>
          <w:w w:val="110"/>
          <w:sz w:val="46"/>
        </w:rPr>
        <w:t>WORKING</w:t>
      </w:r>
      <w:r>
        <w:rPr>
          <w:rFonts w:ascii="Trebuchet MS"/>
          <w:b/>
          <w:color w:val="575757"/>
          <w:spacing w:val="-55"/>
          <w:w w:val="110"/>
          <w:sz w:val="46"/>
        </w:rPr>
        <w:t xml:space="preserve"> </w:t>
      </w:r>
      <w:r>
        <w:rPr>
          <w:rFonts w:ascii="Trebuchet MS"/>
          <w:b/>
          <w:color w:val="575757"/>
          <w:w w:val="110"/>
          <w:sz w:val="46"/>
        </w:rPr>
        <w:t>GROUP</w:t>
      </w:r>
    </w:p>
    <w:p w14:paraId="498A194E" w14:textId="77777777" w:rsidR="00F863EA" w:rsidRDefault="00FA4086">
      <w:pPr>
        <w:spacing w:before="170" w:line="285" w:lineRule="auto"/>
        <w:ind w:left="578" w:right="576"/>
        <w:jc w:val="both"/>
      </w:pPr>
      <w:r>
        <w:rPr>
          <w:color w:val="535353"/>
        </w:rPr>
        <w:t>In the face of escalating impacts of crises and disasters, growing needs and shrinking funds, we come together to emphasize the importance of disaster risk reduction (DRR) through better preparedness and anticipatory action and ensuring effective and efficient responses to disasters. As vulnerabilities deepen</w:t>
      </w:r>
      <w:r>
        <w:rPr>
          <w:color w:val="535353"/>
          <w:spacing w:val="40"/>
        </w:rPr>
        <w:t xml:space="preserve"> </w:t>
      </w:r>
      <w:r>
        <w:rPr>
          <w:color w:val="535353"/>
        </w:rPr>
        <w:t>and</w:t>
      </w:r>
      <w:r>
        <w:rPr>
          <w:color w:val="535353"/>
          <w:spacing w:val="40"/>
        </w:rPr>
        <w:t xml:space="preserve"> </w:t>
      </w:r>
      <w:r>
        <w:rPr>
          <w:color w:val="535353"/>
        </w:rPr>
        <w:t>crises</w:t>
      </w:r>
      <w:r>
        <w:rPr>
          <w:color w:val="535353"/>
          <w:spacing w:val="40"/>
        </w:rPr>
        <w:t xml:space="preserve"> </w:t>
      </w:r>
      <w:r>
        <w:rPr>
          <w:color w:val="535353"/>
        </w:rPr>
        <w:t>become</w:t>
      </w:r>
      <w:r>
        <w:rPr>
          <w:color w:val="535353"/>
          <w:spacing w:val="40"/>
        </w:rPr>
        <w:t xml:space="preserve"> </w:t>
      </w:r>
      <w:r>
        <w:rPr>
          <w:color w:val="535353"/>
        </w:rPr>
        <w:t>more</w:t>
      </w:r>
      <w:r>
        <w:rPr>
          <w:color w:val="535353"/>
          <w:spacing w:val="40"/>
        </w:rPr>
        <w:t xml:space="preserve"> </w:t>
      </w:r>
      <w:r>
        <w:rPr>
          <w:color w:val="535353"/>
        </w:rPr>
        <w:t>complex</w:t>
      </w:r>
      <w:r>
        <w:rPr>
          <w:color w:val="535353"/>
          <w:spacing w:val="40"/>
        </w:rPr>
        <w:t xml:space="preserve"> </w:t>
      </w:r>
      <w:r>
        <w:rPr>
          <w:color w:val="535353"/>
        </w:rPr>
        <w:t>and</w:t>
      </w:r>
      <w:r>
        <w:rPr>
          <w:color w:val="535353"/>
          <w:spacing w:val="40"/>
        </w:rPr>
        <w:t xml:space="preserve"> </w:t>
      </w:r>
      <w:r>
        <w:rPr>
          <w:color w:val="535353"/>
        </w:rPr>
        <w:t>interconnected,</w:t>
      </w:r>
      <w:r>
        <w:rPr>
          <w:color w:val="535353"/>
          <w:spacing w:val="40"/>
        </w:rPr>
        <w:t xml:space="preserve"> </w:t>
      </w:r>
      <w:r>
        <w:rPr>
          <w:color w:val="535353"/>
        </w:rPr>
        <w:t>we</w:t>
      </w:r>
      <w:r>
        <w:rPr>
          <w:color w:val="535353"/>
          <w:spacing w:val="40"/>
        </w:rPr>
        <w:t xml:space="preserve"> </w:t>
      </w:r>
      <w:r>
        <w:rPr>
          <w:color w:val="535353"/>
        </w:rPr>
        <w:t>stand</w:t>
      </w:r>
      <w:r>
        <w:rPr>
          <w:color w:val="535353"/>
          <w:spacing w:val="40"/>
        </w:rPr>
        <w:t xml:space="preserve"> </w:t>
      </w:r>
      <w:r>
        <w:rPr>
          <w:color w:val="535353"/>
        </w:rPr>
        <w:t>united</w:t>
      </w:r>
      <w:r>
        <w:rPr>
          <w:color w:val="535353"/>
          <w:spacing w:val="40"/>
        </w:rPr>
        <w:t xml:space="preserve"> </w:t>
      </w:r>
      <w:r>
        <w:rPr>
          <w:color w:val="535353"/>
        </w:rPr>
        <w:t>in</w:t>
      </w:r>
      <w:r>
        <w:rPr>
          <w:color w:val="535353"/>
          <w:spacing w:val="40"/>
        </w:rPr>
        <w:t xml:space="preserve"> </w:t>
      </w:r>
      <w:r>
        <w:rPr>
          <w:color w:val="535353"/>
        </w:rPr>
        <w:t>our</w:t>
      </w:r>
      <w:r>
        <w:rPr>
          <w:color w:val="535353"/>
          <w:spacing w:val="40"/>
        </w:rPr>
        <w:t xml:space="preserve"> </w:t>
      </w:r>
      <w:r>
        <w:rPr>
          <w:color w:val="535353"/>
        </w:rPr>
        <w:t>commitment</w:t>
      </w:r>
      <w:r>
        <w:rPr>
          <w:color w:val="535353"/>
          <w:spacing w:val="40"/>
        </w:rPr>
        <w:t xml:space="preserve"> </w:t>
      </w:r>
      <w:r>
        <w:rPr>
          <w:color w:val="535353"/>
        </w:rPr>
        <w:t>to</w:t>
      </w:r>
      <w:r>
        <w:rPr>
          <w:color w:val="535353"/>
          <w:spacing w:val="40"/>
        </w:rPr>
        <w:t xml:space="preserve"> </w:t>
      </w:r>
      <w:r>
        <w:rPr>
          <w:color w:val="535353"/>
        </w:rPr>
        <w:t>keeping DRR high on the agenda – despite financial constraints.</w:t>
      </w:r>
    </w:p>
    <w:p w14:paraId="498A194F" w14:textId="77777777" w:rsidR="00F863EA" w:rsidRDefault="00F863EA">
      <w:pPr>
        <w:pStyle w:val="BodyText"/>
        <w:spacing w:before="42"/>
        <w:rPr>
          <w:sz w:val="22"/>
        </w:rPr>
      </w:pPr>
    </w:p>
    <w:p w14:paraId="498A1950" w14:textId="77777777" w:rsidR="00F863EA" w:rsidRDefault="00FA4086">
      <w:pPr>
        <w:spacing w:line="285" w:lineRule="auto"/>
        <w:ind w:left="578" w:right="576"/>
        <w:jc w:val="both"/>
      </w:pPr>
      <w:r>
        <w:rPr>
          <w:color w:val="535353"/>
        </w:rPr>
        <w:t>To be effective, DRR must evolve: it must be (1) people-centred and locally led; (2) grounded in systemic and social solutions; and (3) aimed at addressing the underlying drivers of vulnerability that shape risk.</w:t>
      </w:r>
    </w:p>
    <w:p w14:paraId="498A1951" w14:textId="77777777" w:rsidR="00F863EA" w:rsidRDefault="00F863EA">
      <w:pPr>
        <w:pStyle w:val="BodyText"/>
        <w:spacing w:before="45"/>
        <w:rPr>
          <w:sz w:val="22"/>
        </w:rPr>
      </w:pPr>
    </w:p>
    <w:p w14:paraId="498A1952" w14:textId="77777777" w:rsidR="00F863EA" w:rsidRDefault="00FA4086">
      <w:pPr>
        <w:spacing w:line="285" w:lineRule="auto"/>
        <w:ind w:left="578" w:right="576"/>
        <w:jc w:val="both"/>
      </w:pPr>
      <w:r>
        <w:rPr>
          <w:color w:val="535353"/>
        </w:rPr>
        <w:t>These three interconnected shifts are essential for building resilience that is inclusive, sustainable and future-proofed. Together, we advocate for a DRR approach that empowers communities and addresses</w:t>
      </w:r>
      <w:r>
        <w:rPr>
          <w:color w:val="535353"/>
          <w:spacing w:val="80"/>
          <w:w w:val="150"/>
        </w:rPr>
        <w:t xml:space="preserve"> </w:t>
      </w:r>
      <w:r>
        <w:rPr>
          <w:color w:val="535353"/>
        </w:rPr>
        <w:t>the structural and systemic causes of crises.</w:t>
      </w:r>
    </w:p>
    <w:p w14:paraId="498A1953" w14:textId="77777777" w:rsidR="00F863EA" w:rsidRDefault="00F863EA">
      <w:pPr>
        <w:pStyle w:val="BodyText"/>
        <w:rPr>
          <w:sz w:val="23"/>
        </w:rPr>
      </w:pPr>
    </w:p>
    <w:p w14:paraId="498A1954" w14:textId="77777777" w:rsidR="00F863EA" w:rsidRDefault="00F863EA">
      <w:pPr>
        <w:pStyle w:val="BodyText"/>
        <w:spacing w:before="15"/>
        <w:rPr>
          <w:sz w:val="23"/>
        </w:rPr>
      </w:pPr>
    </w:p>
    <w:p w14:paraId="498A1955" w14:textId="77777777" w:rsidR="00F863EA" w:rsidRDefault="00FA4086">
      <w:pPr>
        <w:ind w:left="578"/>
        <w:rPr>
          <w:rFonts w:ascii="Trebuchet MS"/>
          <w:b/>
          <w:sz w:val="23"/>
        </w:rPr>
      </w:pPr>
      <w:r>
        <w:rPr>
          <w:rFonts w:ascii="Trebuchet MS"/>
          <w:b/>
          <w:color w:val="535353"/>
          <w:w w:val="115"/>
          <w:sz w:val="23"/>
        </w:rPr>
        <w:t>Key Messages</w:t>
      </w:r>
      <w:r>
        <w:rPr>
          <w:rFonts w:ascii="Trebuchet MS"/>
          <w:b/>
          <w:color w:val="535353"/>
          <w:spacing w:val="1"/>
          <w:w w:val="115"/>
          <w:sz w:val="23"/>
        </w:rPr>
        <w:t xml:space="preserve"> </w:t>
      </w:r>
      <w:r>
        <w:rPr>
          <w:rFonts w:ascii="Trebuchet MS"/>
          <w:b/>
          <w:color w:val="535353"/>
          <w:spacing w:val="-4"/>
          <w:w w:val="115"/>
          <w:sz w:val="23"/>
        </w:rPr>
        <w:t>2025</w:t>
      </w:r>
    </w:p>
    <w:p w14:paraId="498A1956" w14:textId="77777777" w:rsidR="00F863EA" w:rsidRDefault="00FA4086">
      <w:pPr>
        <w:pStyle w:val="Heading1"/>
        <w:spacing w:before="266" w:line="268" w:lineRule="auto"/>
        <w:ind w:left="1503" w:right="630"/>
        <w:jc w:val="both"/>
      </w:pPr>
      <w:r>
        <w:rPr>
          <w:noProof/>
        </w:rPr>
        <mc:AlternateContent>
          <mc:Choice Requires="wps">
            <w:drawing>
              <wp:anchor distT="0" distB="0" distL="0" distR="0" simplePos="0" relativeHeight="251658240" behindDoc="0" locked="0" layoutInCell="1" allowOverlap="1" wp14:anchorId="498A1989" wp14:editId="4F883394">
                <wp:simplePos x="0" y="0"/>
                <wp:positionH relativeFrom="page">
                  <wp:posOffset>429658</wp:posOffset>
                </wp:positionH>
                <wp:positionV relativeFrom="paragraph">
                  <wp:posOffset>62138</wp:posOffset>
                </wp:positionV>
                <wp:extent cx="372645" cy="93662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2645" cy="936625"/>
                        </a:xfrm>
                        <a:prstGeom prst="rect">
                          <a:avLst/>
                        </a:prstGeom>
                      </wps:spPr>
                      <wps:txbx>
                        <w:txbxContent>
                          <w:p w14:paraId="498A19AB" w14:textId="77777777" w:rsidR="00F863EA" w:rsidRDefault="00FA4086">
                            <w:pPr>
                              <w:spacing w:before="120"/>
                              <w:rPr>
                                <w:rFonts w:ascii="Trebuchet MS"/>
                                <w:b/>
                                <w:sz w:val="105"/>
                              </w:rPr>
                            </w:pPr>
                            <w:r>
                              <w:rPr>
                                <w:rFonts w:ascii="Trebuchet MS"/>
                                <w:b/>
                                <w:color w:val="0E0D0D"/>
                                <w:spacing w:val="-10"/>
                                <w:w w:val="60"/>
                                <w:sz w:val="105"/>
                              </w:rPr>
                              <w:t>1</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98A1989" id="_x0000_t202" coordsize="21600,21600" o:spt="202" path="m,l,21600r21600,l21600,xe">
                <v:stroke joinstyle="miter"/>
                <v:path gradientshapeok="t" o:connecttype="rect"/>
              </v:shapetype>
              <v:shape id="Textbox 1" o:spid="_x0000_s1026" type="#_x0000_t202" style="position:absolute;left:0;text-align:left;margin-left:33.85pt;margin-top:4.9pt;width:29.35pt;height:73.7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" filled="f" stroked="f">
                <v:textbox inset="0,0,0,0">
                  <w:txbxContent>
                    <w:p w14:paraId="498A19AB" w14:textId="77777777" w:rsidR="00F863EA" w:rsidRDefault="00FA4086">
                      <w:pPr>
                        <w:spacing w:before="120"/>
                        <w:rPr>
                          <w:rFonts w:ascii="Trebuchet MS"/>
                          <w:b/>
                          <w:sz w:val="105"/>
                        </w:rPr>
                      </w:pPr>
                      <w:r>
                        <w:rPr>
                          <w:rFonts w:ascii="Trebuchet MS"/>
                          <w:b/>
                          <w:color w:val="0E0D0D"/>
                          <w:spacing w:val="-10"/>
                          <w:w w:val="60"/>
                          <w:sz w:val="105"/>
                        </w:rPr>
                        <w:t>1</w:t>
                      </w:r>
                    </w:p>
                  </w:txbxContent>
                </v:textbox>
                <w10:wrap anchorx="page"/>
              </v:shape>
            </w:pict>
          </mc:Fallback>
        </mc:AlternateContent>
      </w:r>
      <w:r w:rsidRPr="00AC60E9">
        <w:rPr>
          <w:color w:val="955100"/>
          <w:spacing w:val="20"/>
          <w:w w:val="110"/>
        </w:rPr>
        <w:t xml:space="preserve">DRR </w:t>
      </w:r>
      <w:r w:rsidRPr="00AC60E9">
        <w:rPr>
          <w:color w:val="955100"/>
          <w:spacing w:val="22"/>
          <w:w w:val="110"/>
        </w:rPr>
        <w:t xml:space="preserve">MUST </w:t>
      </w:r>
      <w:r w:rsidRPr="00AC60E9">
        <w:rPr>
          <w:color w:val="955100"/>
          <w:spacing w:val="15"/>
          <w:w w:val="110"/>
        </w:rPr>
        <w:t xml:space="preserve">BE </w:t>
      </w:r>
      <w:r w:rsidRPr="00AC60E9">
        <w:rPr>
          <w:color w:val="955100"/>
          <w:spacing w:val="26"/>
          <w:w w:val="110"/>
        </w:rPr>
        <w:t xml:space="preserve">DESIGNED </w:t>
      </w:r>
      <w:r w:rsidRPr="00AC60E9">
        <w:rPr>
          <w:color w:val="955100"/>
          <w:spacing w:val="22"/>
          <w:w w:val="110"/>
        </w:rPr>
        <w:t xml:space="preserve">WITH </w:t>
      </w:r>
      <w:r w:rsidRPr="00AC60E9">
        <w:rPr>
          <w:color w:val="955100"/>
          <w:spacing w:val="20"/>
          <w:w w:val="110"/>
        </w:rPr>
        <w:t xml:space="preserve">AND FOR </w:t>
      </w:r>
      <w:r w:rsidRPr="00AC60E9">
        <w:rPr>
          <w:color w:val="955100"/>
          <w:spacing w:val="25"/>
          <w:w w:val="110"/>
        </w:rPr>
        <w:t xml:space="preserve">PEOPLE </w:t>
      </w:r>
      <w:r w:rsidRPr="00AC60E9">
        <w:rPr>
          <w:color w:val="955100"/>
          <w:spacing w:val="15"/>
          <w:w w:val="110"/>
        </w:rPr>
        <w:t xml:space="preserve">AT </w:t>
      </w:r>
      <w:r w:rsidRPr="00AC60E9">
        <w:rPr>
          <w:color w:val="955100"/>
          <w:spacing w:val="22"/>
          <w:w w:val="110"/>
        </w:rPr>
        <w:t xml:space="preserve">RISK </w:t>
      </w:r>
      <w:r w:rsidRPr="00AC60E9">
        <w:rPr>
          <w:color w:val="955100"/>
          <w:w w:val="160"/>
        </w:rPr>
        <w:t xml:space="preserve">– </w:t>
      </w:r>
      <w:r w:rsidRPr="00AC60E9">
        <w:rPr>
          <w:color w:val="955100"/>
          <w:spacing w:val="24"/>
          <w:w w:val="110"/>
        </w:rPr>
        <w:t xml:space="preserve">THEIR </w:t>
      </w:r>
      <w:r w:rsidRPr="00AC60E9">
        <w:rPr>
          <w:color w:val="955100"/>
          <w:spacing w:val="27"/>
          <w:w w:val="110"/>
        </w:rPr>
        <w:t xml:space="preserve">PERSPECTIVES, CAPACITIES </w:t>
      </w:r>
      <w:r w:rsidRPr="00AC60E9">
        <w:rPr>
          <w:color w:val="955100"/>
          <w:spacing w:val="20"/>
          <w:w w:val="110"/>
        </w:rPr>
        <w:t xml:space="preserve">AND </w:t>
      </w:r>
      <w:r w:rsidRPr="00AC60E9">
        <w:rPr>
          <w:color w:val="955100"/>
          <w:spacing w:val="24"/>
          <w:w w:val="110"/>
        </w:rPr>
        <w:t xml:space="preserve">LIVED </w:t>
      </w:r>
      <w:r w:rsidRPr="00AC60E9">
        <w:rPr>
          <w:color w:val="955100"/>
          <w:spacing w:val="27"/>
          <w:w w:val="110"/>
        </w:rPr>
        <w:t>EXPERIENCES</w:t>
      </w:r>
      <w:r w:rsidRPr="00AC60E9">
        <w:rPr>
          <w:color w:val="955100"/>
          <w:spacing w:val="14"/>
          <w:w w:val="110"/>
        </w:rPr>
        <w:t xml:space="preserve"> </w:t>
      </w:r>
      <w:r w:rsidRPr="00AC60E9">
        <w:rPr>
          <w:color w:val="955100"/>
          <w:spacing w:val="22"/>
          <w:w w:val="110"/>
        </w:rPr>
        <w:t>MUST</w:t>
      </w:r>
      <w:r w:rsidRPr="00AC60E9">
        <w:rPr>
          <w:color w:val="955100"/>
          <w:spacing w:val="14"/>
          <w:w w:val="110"/>
        </w:rPr>
        <w:t xml:space="preserve"> </w:t>
      </w:r>
      <w:r w:rsidRPr="00AC60E9">
        <w:rPr>
          <w:color w:val="955100"/>
          <w:spacing w:val="15"/>
          <w:w w:val="110"/>
        </w:rPr>
        <w:t>BE</w:t>
      </w:r>
      <w:r w:rsidRPr="00AC60E9">
        <w:rPr>
          <w:color w:val="955100"/>
          <w:spacing w:val="14"/>
          <w:w w:val="110"/>
        </w:rPr>
        <w:t xml:space="preserve"> </w:t>
      </w:r>
      <w:r w:rsidRPr="00AC60E9">
        <w:rPr>
          <w:color w:val="955100"/>
          <w:spacing w:val="15"/>
          <w:w w:val="110"/>
        </w:rPr>
        <w:t>AT</w:t>
      </w:r>
      <w:r w:rsidRPr="00AC60E9">
        <w:rPr>
          <w:color w:val="955100"/>
          <w:spacing w:val="14"/>
          <w:w w:val="110"/>
        </w:rPr>
        <w:t xml:space="preserve"> </w:t>
      </w:r>
      <w:r w:rsidRPr="00AC60E9">
        <w:rPr>
          <w:color w:val="955100"/>
          <w:spacing w:val="20"/>
          <w:w w:val="110"/>
        </w:rPr>
        <w:t>THE</w:t>
      </w:r>
      <w:r w:rsidRPr="00AC60E9">
        <w:rPr>
          <w:color w:val="955100"/>
          <w:spacing w:val="14"/>
          <w:w w:val="110"/>
        </w:rPr>
        <w:t xml:space="preserve"> </w:t>
      </w:r>
      <w:r w:rsidRPr="00AC60E9">
        <w:rPr>
          <w:color w:val="955100"/>
          <w:spacing w:val="25"/>
          <w:w w:val="110"/>
        </w:rPr>
        <w:t>CENTRE.</w:t>
      </w:r>
    </w:p>
    <w:p w14:paraId="498A1957" w14:textId="77777777" w:rsidR="00F863EA" w:rsidRDefault="00F863EA">
      <w:pPr>
        <w:pStyle w:val="BodyText"/>
        <w:spacing w:before="183"/>
        <w:rPr>
          <w:rFonts w:ascii="Trebuchet MS"/>
          <w:b/>
          <w:sz w:val="20"/>
        </w:rPr>
      </w:pPr>
    </w:p>
    <w:p w14:paraId="498A1958" w14:textId="77777777" w:rsidR="00F863EA" w:rsidRDefault="00F863EA">
      <w:pPr>
        <w:pStyle w:val="BodyText"/>
        <w:rPr>
          <w:rFonts w:ascii="Trebuchet MS"/>
          <w:b/>
          <w:sz w:val="20"/>
        </w:rPr>
        <w:sectPr w:rsidR="00F863EA">
          <w:type w:val="continuous"/>
          <w:pgSz w:w="11910" w:h="16850"/>
          <w:pgMar w:top="600" w:right="141" w:bottom="0" w:left="141" w:header="720" w:footer="720" w:gutter="0"/>
          <w:cols w:space="720"/>
        </w:sectPr>
      </w:pPr>
    </w:p>
    <w:p w14:paraId="498A1959" w14:textId="77777777" w:rsidR="00F863EA" w:rsidRDefault="00FA4086">
      <w:pPr>
        <w:pStyle w:val="BodyText"/>
        <w:spacing w:before="56" w:line="283" w:lineRule="auto"/>
        <w:ind w:left="578"/>
        <w:jc w:val="both"/>
      </w:pPr>
      <w:r>
        <w:rPr>
          <w:noProof/>
        </w:rPr>
        <mc:AlternateContent>
          <mc:Choice Requires="wps">
            <w:drawing>
              <wp:anchor distT="0" distB="0" distL="0" distR="0" simplePos="0" relativeHeight="251658244" behindDoc="1" locked="0" layoutInCell="1" allowOverlap="1" wp14:anchorId="498A198B" wp14:editId="3B1F1868">
                <wp:simplePos x="0" y="0"/>
                <wp:positionH relativeFrom="page">
                  <wp:posOffset>0</wp:posOffset>
                </wp:positionH>
                <wp:positionV relativeFrom="page">
                  <wp:posOffset>4103358</wp:posOffset>
                </wp:positionV>
                <wp:extent cx="7562850" cy="6593840"/>
                <wp:effectExtent l="0" t="0" r="0" b="0"/>
                <wp:wrapNone/>
                <wp:docPr id="2" name="Graphic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2850" cy="6593840"/>
                        </a:xfrm>
                        <a:custGeom>
                          <a:avLst/>
                          <a:gdLst/>
                          <a:ahLst/>
                          <a:cxnLst/>
                          <a:rect l="l" t="t" r="r" b="b"/>
                          <a:pathLst>
                            <a:path w="7562850" h="6593840">
                              <a:moveTo>
                                <a:pt x="7562850" y="6593216"/>
                              </a:moveTo>
                              <a:lnTo>
                                <a:pt x="0" y="6593216"/>
                              </a:lnTo>
                              <a:lnTo>
                                <a:pt x="0" y="0"/>
                              </a:lnTo>
                              <a:lnTo>
                                <a:pt x="7562850" y="0"/>
                              </a:lnTo>
                              <a:lnTo>
                                <a:pt x="7562850" y="6593216"/>
                              </a:lnTo>
                              <a:close/>
                            </a:path>
                          </a:pathLst>
                        </a:custGeom>
                        <a:solidFill>
                          <a:srgbClr val="FFBD58">
                            <a:alpha val="11999"/>
                          </a:srgbClr>
                        </a:solidFill>
                      </wps:spPr>
                      <wps:bodyPr wrap="square" lIns="0" tIns="0" rIns="0" bIns="0" rtlCol="0">
                        <a:prstTxWarp prst="textNoShape">
                          <a:avLst/>
                        </a:prstTxWarp>
                        <a:noAutofit/>
                      </wps:bodyPr>
                    </wps:wsp>
                  </a:graphicData>
                </a:graphic>
              </wp:anchor>
            </w:drawing>
          </mc:Choice>
          <mc:Fallback>
            <w:pict>
              <v:shape w14:anchorId="7E19180F" id="Graphic 2" o:spid="_x0000_s1026" alt="&quot;&quot;" style="position:absolute;margin-left:0;margin-top:323.1pt;width:595.5pt;height:519.2pt;z-index:-15792640;visibility:visible;mso-wrap-style:square;mso-wrap-distance-left:0;mso-wrap-distance-top:0;mso-wrap-distance-right:0;mso-wrap-distance-bottom:0;mso-position-horizontal:absolute;mso-position-horizontal-relative:page;mso-position-vertical:absolute;mso-position-vertical-relative:page;v-text-anchor:top" coordsize="7562850,6593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" path="m7562850,6593216l,6593216,,,7562850,r,6593216xe" fillcolor="#ffbd58" stroked="f">
                <v:fill opacity="7967f"/>
                <v:path arrowok="t"/>
                <w10:wrap anchorx="page" anchory="page"/>
              </v:shape>
            </w:pict>
          </mc:Fallback>
        </mc:AlternateContent>
      </w:r>
      <w:r>
        <w:rPr>
          <w:color w:val="535353"/>
        </w:rPr>
        <w:t>DRR must follow an inclusive (e.g., relating to gender, children and youth, older persons, persons with disabilities) and people-centred approach, placing the perspectives, capacities and lived experiences of people at risk at the centre of all interventions. Meaningful involvement of all population groups, including those at disproportionate risk, must be ensured at all stages of DRR.</w:t>
      </w:r>
    </w:p>
    <w:p w14:paraId="498A195A" w14:textId="77777777" w:rsidR="00F863EA" w:rsidRDefault="00F863EA">
      <w:pPr>
        <w:pStyle w:val="BodyText"/>
        <w:spacing w:before="45"/>
      </w:pPr>
    </w:p>
    <w:p w14:paraId="498A195B" w14:textId="77777777" w:rsidR="00F863EA" w:rsidRDefault="00FA4086">
      <w:pPr>
        <w:pStyle w:val="BodyText"/>
        <w:spacing w:line="283" w:lineRule="auto"/>
        <w:ind w:left="578"/>
        <w:jc w:val="both"/>
      </w:pPr>
      <w:r>
        <w:rPr>
          <w:color w:val="535353"/>
        </w:rPr>
        <w:t>A prerequisite for this is trust-based engagement and the availability of data that is</w:t>
      </w:r>
      <w:r>
        <w:rPr>
          <w:color w:val="535353"/>
          <w:spacing w:val="40"/>
        </w:rPr>
        <w:t xml:space="preserve"> </w:t>
      </w:r>
      <w:r>
        <w:rPr>
          <w:color w:val="535353"/>
        </w:rPr>
        <w:t xml:space="preserve">disaggregated at a minimum by sex, age and disability. It is essential for both policy-makers and practitioners to understand participation barriers and related underlying risk </w:t>
      </w:r>
      <w:r>
        <w:rPr>
          <w:color w:val="535353"/>
          <w:spacing w:val="-2"/>
        </w:rPr>
        <w:t>factors.</w:t>
      </w:r>
    </w:p>
    <w:p w14:paraId="39F39CC8" w14:textId="525D874A" w:rsidR="00562CDA" w:rsidRDefault="00FA4086">
      <w:pPr>
        <w:pStyle w:val="BodyText"/>
        <w:tabs>
          <w:tab w:val="left" w:pos="2196"/>
          <w:tab w:val="left" w:pos="2956"/>
          <w:tab w:val="left" w:pos="3984"/>
          <w:tab w:val="left" w:pos="5281"/>
        </w:tabs>
        <w:spacing w:before="1" w:line="283" w:lineRule="auto"/>
        <w:ind w:left="935" w:hanging="358"/>
        <w:rPr>
          <w:color w:val="535353"/>
        </w:rPr>
      </w:pPr>
      <w:r>
        <w:rPr>
          <w:color w:val="535353"/>
        </w:rPr>
        <w:t>To ensure universal access to information:</w:t>
      </w:r>
    </w:p>
    <w:p w14:paraId="498A195C" w14:textId="58A480F2" w:rsidR="00F863EA" w:rsidRDefault="00FA4086" w:rsidP="00562CDA">
      <w:pPr>
        <w:pStyle w:val="BodyText"/>
        <w:numPr>
          <w:ilvl w:val="0"/>
          <w:numId w:val="2"/>
        </w:numPr>
        <w:tabs>
          <w:tab w:val="left" w:pos="2196"/>
          <w:tab w:val="left" w:pos="2956"/>
          <w:tab w:val="left" w:pos="3984"/>
          <w:tab w:val="left" w:pos="5281"/>
        </w:tabs>
        <w:spacing w:before="1" w:line="283" w:lineRule="auto"/>
      </w:pPr>
      <w:r>
        <w:rPr>
          <w:color w:val="535353"/>
        </w:rPr>
        <w:t>communication</w:t>
      </w:r>
      <w:r>
        <w:rPr>
          <w:color w:val="535353"/>
          <w:spacing w:val="31"/>
        </w:rPr>
        <w:t xml:space="preserve"> </w:t>
      </w:r>
      <w:r>
        <w:rPr>
          <w:color w:val="535353"/>
        </w:rPr>
        <w:t>channels</w:t>
      </w:r>
      <w:r>
        <w:rPr>
          <w:color w:val="535353"/>
          <w:spacing w:val="31"/>
        </w:rPr>
        <w:t xml:space="preserve"> </w:t>
      </w:r>
      <w:r>
        <w:rPr>
          <w:color w:val="535353"/>
        </w:rPr>
        <w:t>need</w:t>
      </w:r>
      <w:r>
        <w:rPr>
          <w:color w:val="535353"/>
          <w:spacing w:val="31"/>
        </w:rPr>
        <w:t xml:space="preserve"> </w:t>
      </w:r>
      <w:r>
        <w:rPr>
          <w:color w:val="535353"/>
        </w:rPr>
        <w:t>to</w:t>
      </w:r>
      <w:r>
        <w:rPr>
          <w:color w:val="535353"/>
          <w:spacing w:val="31"/>
        </w:rPr>
        <w:t xml:space="preserve"> </w:t>
      </w:r>
      <w:r>
        <w:rPr>
          <w:color w:val="535353"/>
        </w:rPr>
        <w:t>be</w:t>
      </w:r>
      <w:r>
        <w:rPr>
          <w:color w:val="535353"/>
          <w:spacing w:val="31"/>
        </w:rPr>
        <w:t xml:space="preserve"> </w:t>
      </w:r>
      <w:r>
        <w:rPr>
          <w:color w:val="535353"/>
        </w:rPr>
        <w:t>trusted</w:t>
      </w:r>
      <w:r>
        <w:rPr>
          <w:color w:val="535353"/>
          <w:spacing w:val="31"/>
        </w:rPr>
        <w:t xml:space="preserve"> </w:t>
      </w:r>
      <w:r>
        <w:rPr>
          <w:color w:val="535353"/>
        </w:rPr>
        <w:t xml:space="preserve">and </w:t>
      </w:r>
      <w:r>
        <w:rPr>
          <w:color w:val="535353"/>
          <w:spacing w:val="-2"/>
        </w:rPr>
        <w:t>accessible</w:t>
      </w:r>
      <w:r>
        <w:rPr>
          <w:color w:val="535353"/>
        </w:rPr>
        <w:tab/>
      </w:r>
      <w:r>
        <w:rPr>
          <w:color w:val="535353"/>
          <w:spacing w:val="-2"/>
        </w:rPr>
        <w:t>(e.g.,</w:t>
      </w:r>
      <w:r>
        <w:rPr>
          <w:color w:val="535353"/>
        </w:rPr>
        <w:tab/>
      </w:r>
      <w:r>
        <w:rPr>
          <w:color w:val="535353"/>
          <w:spacing w:val="-2"/>
        </w:rPr>
        <w:t>relevant</w:t>
      </w:r>
      <w:r>
        <w:rPr>
          <w:color w:val="535353"/>
        </w:rPr>
        <w:tab/>
      </w:r>
      <w:r>
        <w:rPr>
          <w:color w:val="535353"/>
          <w:spacing w:val="-2"/>
        </w:rPr>
        <w:t>technology</w:t>
      </w:r>
      <w:r>
        <w:rPr>
          <w:color w:val="535353"/>
        </w:rPr>
        <w:tab/>
      </w:r>
      <w:r>
        <w:rPr>
          <w:color w:val="535353"/>
          <w:spacing w:val="-4"/>
        </w:rPr>
        <w:t xml:space="preserve">and </w:t>
      </w:r>
      <w:r>
        <w:rPr>
          <w:color w:val="535353"/>
          <w:spacing w:val="-2"/>
        </w:rPr>
        <w:t>communication)</w:t>
      </w:r>
    </w:p>
    <w:p w14:paraId="498A195D" w14:textId="6E068535" w:rsidR="00F863EA" w:rsidRDefault="00FA4086" w:rsidP="00562CDA">
      <w:pPr>
        <w:pStyle w:val="BodyText"/>
        <w:numPr>
          <w:ilvl w:val="0"/>
          <w:numId w:val="2"/>
        </w:numPr>
        <w:spacing w:before="1" w:line="283" w:lineRule="auto"/>
        <w:jc w:val="both"/>
      </w:pPr>
      <w:proofErr w:type="gramStart"/>
      <w:r>
        <w:rPr>
          <w:color w:val="535353"/>
        </w:rPr>
        <w:t>it</w:t>
      </w:r>
      <w:proofErr w:type="gramEnd"/>
      <w:r>
        <w:rPr>
          <w:color w:val="535353"/>
        </w:rPr>
        <w:t xml:space="preserve"> must be understandable to all (e.g., local languages, simple language, formats accessible for </w:t>
      </w:r>
      <w:proofErr w:type="gramStart"/>
      <w:r>
        <w:rPr>
          <w:color w:val="535353"/>
        </w:rPr>
        <w:t>persons</w:t>
      </w:r>
      <w:proofErr w:type="gramEnd"/>
      <w:r>
        <w:rPr>
          <w:color w:val="535353"/>
        </w:rPr>
        <w:t xml:space="preserve"> with disabilities)</w:t>
      </w:r>
    </w:p>
    <w:p w14:paraId="498A195E" w14:textId="0B3134F9" w:rsidR="00F863EA" w:rsidRDefault="00FA4086" w:rsidP="00562CDA">
      <w:pPr>
        <w:pStyle w:val="BodyText"/>
        <w:numPr>
          <w:ilvl w:val="0"/>
          <w:numId w:val="2"/>
        </w:numPr>
        <w:spacing w:line="283" w:lineRule="auto"/>
        <w:jc w:val="both"/>
      </w:pPr>
      <w:proofErr w:type="gramStart"/>
      <w:r>
        <w:rPr>
          <w:color w:val="535353"/>
        </w:rPr>
        <w:t>it</w:t>
      </w:r>
      <w:proofErr w:type="gramEnd"/>
      <w:r>
        <w:rPr>
          <w:color w:val="535353"/>
        </w:rPr>
        <w:t xml:space="preserve"> must be relevant and actionable (e.g., tailored to local contexts, priorities and the capacities of various groups)</w:t>
      </w:r>
    </w:p>
    <w:p w14:paraId="498A195F" w14:textId="79C9EB87" w:rsidR="00F863EA" w:rsidRDefault="00FA4086" w:rsidP="00562CDA">
      <w:pPr>
        <w:pStyle w:val="BodyText"/>
        <w:numPr>
          <w:ilvl w:val="0"/>
          <w:numId w:val="2"/>
        </w:numPr>
        <w:spacing w:before="1"/>
        <w:jc w:val="both"/>
      </w:pPr>
      <w:proofErr w:type="gramStart"/>
      <w:r>
        <w:rPr>
          <w:color w:val="535353"/>
        </w:rPr>
        <w:t>it</w:t>
      </w:r>
      <w:proofErr w:type="gramEnd"/>
      <w:r>
        <w:rPr>
          <w:color w:val="535353"/>
          <w:spacing w:val="-3"/>
        </w:rPr>
        <w:t xml:space="preserve"> </w:t>
      </w:r>
      <w:r>
        <w:rPr>
          <w:color w:val="535353"/>
        </w:rPr>
        <w:t>must</w:t>
      </w:r>
      <w:r>
        <w:rPr>
          <w:color w:val="535353"/>
          <w:spacing w:val="-3"/>
        </w:rPr>
        <w:t xml:space="preserve"> </w:t>
      </w:r>
      <w:r>
        <w:rPr>
          <w:color w:val="535353"/>
        </w:rPr>
        <w:t>comply</w:t>
      </w:r>
      <w:r>
        <w:rPr>
          <w:color w:val="535353"/>
          <w:spacing w:val="-2"/>
        </w:rPr>
        <w:t xml:space="preserve"> </w:t>
      </w:r>
      <w:r>
        <w:rPr>
          <w:color w:val="535353"/>
        </w:rPr>
        <w:t>with</w:t>
      </w:r>
      <w:r>
        <w:rPr>
          <w:color w:val="535353"/>
          <w:spacing w:val="-3"/>
        </w:rPr>
        <w:t xml:space="preserve"> </w:t>
      </w:r>
      <w:r>
        <w:rPr>
          <w:color w:val="535353"/>
        </w:rPr>
        <w:t>local</w:t>
      </w:r>
      <w:r>
        <w:rPr>
          <w:color w:val="535353"/>
          <w:spacing w:val="-2"/>
        </w:rPr>
        <w:t xml:space="preserve"> customs.</w:t>
      </w:r>
    </w:p>
    <w:p w14:paraId="498A1960" w14:textId="77777777" w:rsidR="00F863EA" w:rsidRDefault="00FA4086">
      <w:pPr>
        <w:pStyle w:val="BodyText"/>
        <w:spacing w:before="56" w:line="283" w:lineRule="auto"/>
        <w:ind w:left="331" w:right="576"/>
        <w:jc w:val="both"/>
      </w:pPr>
      <w:r>
        <w:br w:type="column"/>
      </w:r>
      <w:r>
        <w:rPr>
          <w:color w:val="535353"/>
        </w:rPr>
        <w:t>To ensure the acceptance and relevance of DRR interventions, they must be co-designed in collaboration with communities at risk, considering local leadership and local knowledge. When local leaders – from community groups, local councils and grassroots organizations – are empowered and resourced, they can drive context-specific, inclusive and timely DRR.</w:t>
      </w:r>
    </w:p>
    <w:p w14:paraId="498A1961" w14:textId="77777777" w:rsidR="00F863EA" w:rsidRDefault="00F863EA">
      <w:pPr>
        <w:pStyle w:val="BodyText"/>
        <w:spacing w:before="45"/>
      </w:pPr>
    </w:p>
    <w:p w14:paraId="498A1962" w14:textId="77777777" w:rsidR="00F863EA" w:rsidRDefault="00FA4086">
      <w:pPr>
        <w:pStyle w:val="BodyText"/>
        <w:spacing w:line="283" w:lineRule="auto"/>
        <w:ind w:left="331" w:right="576"/>
        <w:jc w:val="both"/>
      </w:pPr>
      <w:r>
        <w:rPr>
          <w:color w:val="535353"/>
        </w:rPr>
        <w:t>Stronger local leadership ensures that DRR is not externally imposed but locally owned, rooted in lived realities and cultural contexts. For instance, early warning systems need to be tailored to local realities and empower the most marginalised people, through strong links between community, education and national institutions for timely and inclusive alerts and actions. DRR efforts must be grounded in the specific socio-cultural, geographic and economic contexts of communities, and need to be adapted to fragile and urban contexts.</w:t>
      </w:r>
    </w:p>
    <w:p w14:paraId="498A1963" w14:textId="77777777" w:rsidR="00F863EA" w:rsidRDefault="00F863EA">
      <w:pPr>
        <w:pStyle w:val="BodyText"/>
        <w:spacing w:line="283" w:lineRule="auto"/>
        <w:jc w:val="both"/>
        <w:sectPr w:rsidR="00F863EA">
          <w:type w:val="continuous"/>
          <w:pgSz w:w="11910" w:h="16850"/>
          <w:pgMar w:top="600" w:right="141" w:bottom="0" w:left="141" w:header="720" w:footer="720" w:gutter="0"/>
          <w:cols w:num="2" w:space="720" w:equalWidth="0">
            <w:col w:w="5633" w:space="40"/>
            <w:col w:w="5955"/>
          </w:cols>
        </w:sectPr>
      </w:pPr>
    </w:p>
    <w:p w14:paraId="498A1964" w14:textId="77777777" w:rsidR="00F863EA" w:rsidRDefault="00F863EA">
      <w:pPr>
        <w:pStyle w:val="BodyText"/>
        <w:spacing w:before="108"/>
        <w:rPr>
          <w:sz w:val="30"/>
        </w:rPr>
      </w:pPr>
    </w:p>
    <w:p w14:paraId="498A1965" w14:textId="77777777" w:rsidR="00F863EA" w:rsidRDefault="00FA4086">
      <w:pPr>
        <w:pStyle w:val="Heading1"/>
        <w:spacing w:before="1" w:line="268" w:lineRule="auto"/>
      </w:pPr>
      <w:r>
        <w:rPr>
          <w:noProof/>
        </w:rPr>
        <mc:AlternateContent>
          <mc:Choice Requires="wps">
            <w:drawing>
              <wp:anchor distT="0" distB="0" distL="0" distR="0" simplePos="0" relativeHeight="251658241" behindDoc="0" locked="0" layoutInCell="1" allowOverlap="1" wp14:anchorId="498A1995" wp14:editId="498A1996">
                <wp:simplePos x="0" y="0"/>
                <wp:positionH relativeFrom="page">
                  <wp:posOffset>407742</wp:posOffset>
                </wp:positionH>
                <wp:positionV relativeFrom="paragraph">
                  <wp:posOffset>-237038</wp:posOffset>
                </wp:positionV>
                <wp:extent cx="382270" cy="93662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2270" cy="936625"/>
                        </a:xfrm>
                        <a:prstGeom prst="rect">
                          <a:avLst/>
                        </a:prstGeom>
                      </wps:spPr>
                      <wps:txbx>
                        <w:txbxContent>
                          <w:p w14:paraId="498A19AC" w14:textId="77777777" w:rsidR="00F863EA" w:rsidRDefault="00FA4086">
                            <w:pPr>
                              <w:spacing w:before="120"/>
                              <w:rPr>
                                <w:rFonts w:ascii="Trebuchet MS"/>
                                <w:b/>
                                <w:sz w:val="105"/>
                              </w:rPr>
                            </w:pPr>
                            <w:r>
                              <w:rPr>
                                <w:rFonts w:ascii="Trebuchet MS"/>
                                <w:b/>
                                <w:color w:val="0E0D0D"/>
                                <w:spacing w:val="-25"/>
                                <w:sz w:val="105"/>
                              </w:rPr>
                              <w:t>2</w:t>
                            </w:r>
                          </w:p>
                        </w:txbxContent>
                      </wps:txbx>
                      <wps:bodyPr wrap="square" lIns="0" tIns="0" rIns="0" bIns="0" rtlCol="0">
                        <a:noAutofit/>
                      </wps:bodyPr>
                    </wps:wsp>
                  </a:graphicData>
                </a:graphic>
              </wp:anchor>
            </w:drawing>
          </mc:Choice>
          <mc:Fallback>
            <w:pict>
              <v:shape w14:anchorId="498A1995" id="Textbox 7" o:spid="_x0000_s1027" type="#_x0000_t202" style="position:absolute;left:0;text-align:left;margin-left:32.1pt;margin-top:-18.65pt;width:30.1pt;height:73.75pt;z-index:25165824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" filled="f" stroked="f">
                <v:textbox inset="0,0,0,0">
                  <w:txbxContent>
                    <w:p w14:paraId="498A19AC" w14:textId="77777777" w:rsidR="00F863EA" w:rsidRDefault="00FA4086">
                      <w:pPr>
                        <w:spacing w:before="120"/>
                        <w:rPr>
                          <w:rFonts w:ascii="Trebuchet MS"/>
                          <w:b/>
                          <w:sz w:val="105"/>
                        </w:rPr>
                      </w:pPr>
                      <w:r>
                        <w:rPr>
                          <w:rFonts w:ascii="Trebuchet MS"/>
                          <w:b/>
                          <w:color w:val="0E0D0D"/>
                          <w:spacing w:val="-25"/>
                          <w:sz w:val="105"/>
                        </w:rPr>
                        <w:t>2</w:t>
                      </w:r>
                    </w:p>
                  </w:txbxContent>
                </v:textbox>
                <w10:wrap anchorx="page"/>
              </v:shape>
            </w:pict>
          </mc:Fallback>
        </mc:AlternateContent>
      </w:r>
      <w:r w:rsidRPr="00AC60E9">
        <w:rPr>
          <w:color w:val="955100"/>
          <w:spacing w:val="20"/>
          <w:w w:val="110"/>
        </w:rPr>
        <w:t xml:space="preserve">DRR </w:t>
      </w:r>
      <w:r w:rsidRPr="00AC60E9">
        <w:rPr>
          <w:color w:val="955100"/>
          <w:spacing w:val="26"/>
          <w:w w:val="110"/>
        </w:rPr>
        <w:t>REQUIRES</w:t>
      </w:r>
      <w:r w:rsidRPr="00AC60E9">
        <w:rPr>
          <w:color w:val="955100"/>
          <w:spacing w:val="25"/>
          <w:w w:val="110"/>
        </w:rPr>
        <w:t xml:space="preserve"> </w:t>
      </w:r>
      <w:r w:rsidRPr="00AC60E9">
        <w:rPr>
          <w:color w:val="955100"/>
          <w:spacing w:val="26"/>
          <w:w w:val="110"/>
        </w:rPr>
        <w:t>SYSTEMIC</w:t>
      </w:r>
      <w:r w:rsidRPr="00AC60E9">
        <w:rPr>
          <w:color w:val="955100"/>
          <w:spacing w:val="25"/>
          <w:w w:val="110"/>
        </w:rPr>
        <w:t xml:space="preserve"> </w:t>
      </w:r>
      <w:r w:rsidRPr="00AC60E9">
        <w:rPr>
          <w:color w:val="955100"/>
          <w:spacing w:val="20"/>
          <w:w w:val="110"/>
        </w:rPr>
        <w:t xml:space="preserve">AND </w:t>
      </w:r>
      <w:r w:rsidRPr="00AC60E9">
        <w:rPr>
          <w:color w:val="955100"/>
          <w:spacing w:val="25"/>
          <w:w w:val="110"/>
        </w:rPr>
        <w:t xml:space="preserve">SOCIAL </w:t>
      </w:r>
      <w:r w:rsidRPr="00AC60E9">
        <w:rPr>
          <w:color w:val="955100"/>
          <w:spacing w:val="26"/>
          <w:w w:val="110"/>
        </w:rPr>
        <w:t>SOLUTIONS</w:t>
      </w:r>
      <w:r w:rsidRPr="00AC60E9">
        <w:rPr>
          <w:color w:val="955100"/>
          <w:spacing w:val="25"/>
          <w:w w:val="110"/>
        </w:rPr>
        <w:t xml:space="preserve"> </w:t>
      </w:r>
      <w:r w:rsidRPr="00AC60E9">
        <w:rPr>
          <w:color w:val="955100"/>
          <w:spacing w:val="20"/>
          <w:w w:val="110"/>
        </w:rPr>
        <w:t xml:space="preserve">AND </w:t>
      </w:r>
      <w:r w:rsidRPr="00AC60E9">
        <w:rPr>
          <w:color w:val="955100"/>
          <w:spacing w:val="27"/>
          <w:w w:val="110"/>
        </w:rPr>
        <w:t xml:space="preserve">SUSTAINABLE, </w:t>
      </w:r>
      <w:r w:rsidRPr="00AC60E9">
        <w:rPr>
          <w:color w:val="955100"/>
          <w:spacing w:val="24"/>
          <w:w w:val="110"/>
        </w:rPr>
        <w:t>LONG-</w:t>
      </w:r>
      <w:r w:rsidRPr="00AC60E9">
        <w:rPr>
          <w:color w:val="955100"/>
          <w:spacing w:val="-61"/>
          <w:w w:val="110"/>
        </w:rPr>
        <w:t xml:space="preserve"> </w:t>
      </w:r>
      <w:r w:rsidRPr="00AC60E9">
        <w:rPr>
          <w:color w:val="955100"/>
          <w:spacing w:val="22"/>
          <w:w w:val="110"/>
        </w:rPr>
        <w:t xml:space="preserve">TERM </w:t>
      </w:r>
      <w:r w:rsidRPr="00AC60E9">
        <w:rPr>
          <w:color w:val="955100"/>
          <w:spacing w:val="25"/>
          <w:w w:val="110"/>
        </w:rPr>
        <w:t xml:space="preserve">FUNDING </w:t>
      </w:r>
      <w:r w:rsidRPr="00AC60E9">
        <w:rPr>
          <w:color w:val="955100"/>
          <w:spacing w:val="27"/>
          <w:w w:val="110"/>
        </w:rPr>
        <w:t>COMMITMENTS.</w:t>
      </w:r>
    </w:p>
    <w:p w14:paraId="498A1966" w14:textId="77777777" w:rsidR="00F863EA" w:rsidRDefault="00F863EA">
      <w:pPr>
        <w:pStyle w:val="BodyText"/>
        <w:rPr>
          <w:rFonts w:ascii="Trebuchet MS"/>
          <w:b/>
          <w:sz w:val="20"/>
        </w:rPr>
      </w:pPr>
    </w:p>
    <w:p w14:paraId="498A1967" w14:textId="77777777" w:rsidR="00F863EA" w:rsidRDefault="00F863EA">
      <w:pPr>
        <w:pStyle w:val="BodyText"/>
        <w:spacing w:before="177"/>
        <w:rPr>
          <w:rFonts w:ascii="Trebuchet MS"/>
          <w:b/>
          <w:sz w:val="20"/>
        </w:rPr>
      </w:pPr>
    </w:p>
    <w:p w14:paraId="498A1968" w14:textId="77777777" w:rsidR="00F863EA" w:rsidRDefault="00F863EA">
      <w:pPr>
        <w:pStyle w:val="BodyText"/>
        <w:rPr>
          <w:rFonts w:ascii="Trebuchet MS"/>
          <w:b/>
          <w:sz w:val="20"/>
        </w:rPr>
        <w:sectPr w:rsidR="00F863EA">
          <w:pgSz w:w="11910" w:h="16850"/>
          <w:pgMar w:top="540" w:right="141" w:bottom="280" w:left="141" w:header="720" w:footer="720" w:gutter="0"/>
          <w:cols w:space="720"/>
        </w:sectPr>
      </w:pPr>
    </w:p>
    <w:p w14:paraId="498A1969" w14:textId="77777777" w:rsidR="00F863EA" w:rsidRDefault="00FA4086">
      <w:pPr>
        <w:pStyle w:val="BodyText"/>
        <w:spacing w:before="56" w:line="283" w:lineRule="auto"/>
        <w:ind w:left="478"/>
        <w:jc w:val="both"/>
      </w:pPr>
      <w:r>
        <w:rPr>
          <w:color w:val="535353"/>
        </w:rPr>
        <w:t>The most pressing DRR gaps do not lie in tools, but in governance, inclusion, data, financing and accountability. To be effective, DRR must be rooted in context: risks rarely occur in isolation, especially in fragile or</w:t>
      </w:r>
      <w:r>
        <w:rPr>
          <w:color w:val="535353"/>
          <w:spacing w:val="-1"/>
        </w:rPr>
        <w:t xml:space="preserve"> </w:t>
      </w:r>
      <w:r>
        <w:rPr>
          <w:color w:val="535353"/>
        </w:rPr>
        <w:t xml:space="preserve">urban settings where conflict, climate shocks, poverty and displacement often intersect. One-size- fits-all approaches fall short in the face of such </w:t>
      </w:r>
      <w:r>
        <w:rPr>
          <w:color w:val="535353"/>
          <w:spacing w:val="-2"/>
        </w:rPr>
        <w:t>complexity.</w:t>
      </w:r>
    </w:p>
    <w:p w14:paraId="498A196A" w14:textId="77777777" w:rsidR="00F863EA" w:rsidRDefault="00F863EA">
      <w:pPr>
        <w:pStyle w:val="BodyText"/>
        <w:spacing w:before="44"/>
      </w:pPr>
    </w:p>
    <w:p w14:paraId="498A196B" w14:textId="77777777" w:rsidR="00F863EA" w:rsidRDefault="00FA4086">
      <w:pPr>
        <w:pStyle w:val="BodyText"/>
        <w:spacing w:before="1" w:line="283" w:lineRule="auto"/>
        <w:ind w:left="478"/>
        <w:jc w:val="both"/>
      </w:pPr>
      <w:r>
        <w:rPr>
          <w:color w:val="535353"/>
        </w:rPr>
        <w:t>DRR must be fully integrated with climate action, development planning and social protection, guided by local realities and inclusive governance. Long-term commitment, shared risk data, multistakeholder coordination and predictable financing are essential.</w:t>
      </w:r>
    </w:p>
    <w:p w14:paraId="498A196C" w14:textId="77777777" w:rsidR="00F863EA" w:rsidRDefault="00FA4086">
      <w:pPr>
        <w:pStyle w:val="BodyText"/>
        <w:spacing w:before="56" w:line="283" w:lineRule="auto"/>
        <w:ind w:left="369" w:right="476"/>
        <w:jc w:val="both"/>
      </w:pPr>
      <w:r>
        <w:br w:type="column"/>
      </w:r>
      <w:r>
        <w:rPr>
          <w:color w:val="535353"/>
        </w:rPr>
        <w:t>This also enhances accountability and continuity, enabling communities to move from dependence on short-term aid towards sustained resilience. This directly supports the 2025 call to “fund resilience, not disasters”,[1] so that resources are invested where needed to reduce risk, and where best to prevent repeated cycles of crises.</w:t>
      </w:r>
    </w:p>
    <w:p w14:paraId="498A196D" w14:textId="77777777" w:rsidR="00F863EA" w:rsidRDefault="00F863EA">
      <w:pPr>
        <w:pStyle w:val="BodyText"/>
        <w:spacing w:before="44"/>
      </w:pPr>
    </w:p>
    <w:p w14:paraId="498A196E" w14:textId="77777777" w:rsidR="00F863EA" w:rsidRDefault="00FA4086">
      <w:pPr>
        <w:pStyle w:val="BodyText"/>
        <w:spacing w:before="1" w:line="283" w:lineRule="auto"/>
        <w:ind w:left="369" w:right="476"/>
        <w:jc w:val="both"/>
      </w:pPr>
      <w:r>
        <w:rPr>
          <w:color w:val="535353"/>
        </w:rPr>
        <w:t>Only through integrated, proactive strategies can we protect lives and dignity. Reducing risks sustainably means moving beyond reactive measures to address the systems that drive vulnerability – laying the groundwork for lasting protection in an increasingly complex risk landscape.</w:t>
      </w:r>
    </w:p>
    <w:p w14:paraId="498A196F" w14:textId="77777777" w:rsidR="00F863EA" w:rsidRDefault="00F863EA">
      <w:pPr>
        <w:pStyle w:val="BodyText"/>
        <w:spacing w:line="283" w:lineRule="auto"/>
        <w:jc w:val="both"/>
        <w:sectPr w:rsidR="00F863EA">
          <w:type w:val="continuous"/>
          <w:pgSz w:w="11910" w:h="16850"/>
          <w:pgMar w:top="600" w:right="141" w:bottom="0" w:left="141" w:header="720" w:footer="720" w:gutter="0"/>
          <w:cols w:num="2" w:space="720" w:equalWidth="0">
            <w:col w:w="5610" w:space="40"/>
            <w:col w:w="5978"/>
          </w:cols>
        </w:sectPr>
      </w:pPr>
    </w:p>
    <w:p w14:paraId="498A1970" w14:textId="77777777" w:rsidR="00F863EA" w:rsidRDefault="00F863EA">
      <w:pPr>
        <w:pStyle w:val="BodyText"/>
        <w:rPr>
          <w:sz w:val="30"/>
        </w:rPr>
      </w:pPr>
    </w:p>
    <w:p w14:paraId="498A1971" w14:textId="77777777" w:rsidR="00F863EA" w:rsidRDefault="00F863EA">
      <w:pPr>
        <w:pStyle w:val="BodyText"/>
        <w:rPr>
          <w:sz w:val="30"/>
        </w:rPr>
      </w:pPr>
    </w:p>
    <w:p w14:paraId="498A1972" w14:textId="77777777" w:rsidR="00F863EA" w:rsidRDefault="00F863EA">
      <w:pPr>
        <w:pStyle w:val="BodyText"/>
        <w:spacing w:before="148"/>
        <w:rPr>
          <w:sz w:val="30"/>
        </w:rPr>
      </w:pPr>
    </w:p>
    <w:p w14:paraId="498A1973" w14:textId="77777777" w:rsidR="00F863EA" w:rsidRDefault="00FA4086">
      <w:pPr>
        <w:pStyle w:val="Heading1"/>
        <w:spacing w:line="268" w:lineRule="auto"/>
      </w:pPr>
      <w:r>
        <w:rPr>
          <w:noProof/>
        </w:rPr>
        <mc:AlternateContent>
          <mc:Choice Requires="wps">
            <w:drawing>
              <wp:anchor distT="0" distB="0" distL="0" distR="0" simplePos="0" relativeHeight="251658242" behindDoc="0" locked="0" layoutInCell="1" allowOverlap="1" wp14:anchorId="498A1997" wp14:editId="498A1998">
                <wp:simplePos x="0" y="0"/>
                <wp:positionH relativeFrom="page">
                  <wp:posOffset>408372</wp:posOffset>
                </wp:positionH>
                <wp:positionV relativeFrom="paragraph">
                  <wp:posOffset>-154318</wp:posOffset>
                </wp:positionV>
                <wp:extent cx="405130" cy="93662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5130" cy="936625"/>
                        </a:xfrm>
                        <a:prstGeom prst="rect">
                          <a:avLst/>
                        </a:prstGeom>
                      </wps:spPr>
                      <wps:txbx>
                        <w:txbxContent>
                          <w:p w14:paraId="498A19AD" w14:textId="77777777" w:rsidR="00F863EA" w:rsidRDefault="00FA4086">
                            <w:pPr>
                              <w:spacing w:before="120"/>
                              <w:rPr>
                                <w:rFonts w:ascii="Trebuchet MS"/>
                                <w:b/>
                                <w:sz w:val="105"/>
                              </w:rPr>
                            </w:pPr>
                            <w:r>
                              <w:rPr>
                                <w:rFonts w:ascii="Trebuchet MS"/>
                                <w:b/>
                                <w:color w:val="0E0D0D"/>
                                <w:spacing w:val="-10"/>
                                <w:sz w:val="105"/>
                              </w:rPr>
                              <w:t>3</w:t>
                            </w:r>
                          </w:p>
                        </w:txbxContent>
                      </wps:txbx>
                      <wps:bodyPr wrap="square" lIns="0" tIns="0" rIns="0" bIns="0" rtlCol="0">
                        <a:noAutofit/>
                      </wps:bodyPr>
                    </wps:wsp>
                  </a:graphicData>
                </a:graphic>
              </wp:anchor>
            </w:drawing>
          </mc:Choice>
          <mc:Fallback>
            <w:pict>
              <v:shape w14:anchorId="498A1997" id="Textbox 8" o:spid="_x0000_s1028" type="#_x0000_t202" style="position:absolute;left:0;text-align:left;margin-left:32.15pt;margin-top:-12.15pt;width:31.9pt;height:73.75pt;z-index:25165824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" filled="f" stroked="f">
                <v:textbox inset="0,0,0,0">
                  <w:txbxContent>
                    <w:p w14:paraId="498A19AD" w14:textId="77777777" w:rsidR="00F863EA" w:rsidRDefault="00FA4086">
                      <w:pPr>
                        <w:spacing w:before="120"/>
                        <w:rPr>
                          <w:rFonts w:ascii="Trebuchet MS"/>
                          <w:b/>
                          <w:sz w:val="105"/>
                        </w:rPr>
                      </w:pPr>
                      <w:r>
                        <w:rPr>
                          <w:rFonts w:ascii="Trebuchet MS"/>
                          <w:b/>
                          <w:color w:val="0E0D0D"/>
                          <w:spacing w:val="-10"/>
                          <w:sz w:val="105"/>
                        </w:rPr>
                        <w:t>3</w:t>
                      </w:r>
                    </w:p>
                  </w:txbxContent>
                </v:textbox>
                <w10:wrap anchorx="page"/>
              </v:shape>
            </w:pict>
          </mc:Fallback>
        </mc:AlternateContent>
      </w:r>
      <w:r w:rsidRPr="00AC60E9">
        <w:rPr>
          <w:color w:val="955100"/>
          <w:spacing w:val="20"/>
          <w:w w:val="105"/>
        </w:rPr>
        <w:t xml:space="preserve">DRR </w:t>
      </w:r>
      <w:r w:rsidRPr="00AC60E9">
        <w:rPr>
          <w:color w:val="955100"/>
          <w:spacing w:val="25"/>
          <w:w w:val="105"/>
        </w:rPr>
        <w:t xml:space="preserve">SHOULD </w:t>
      </w:r>
      <w:r w:rsidRPr="00AC60E9">
        <w:rPr>
          <w:color w:val="955100"/>
          <w:spacing w:val="20"/>
          <w:w w:val="105"/>
        </w:rPr>
        <w:t xml:space="preserve">NOT </w:t>
      </w:r>
      <w:r w:rsidRPr="00AC60E9">
        <w:rPr>
          <w:color w:val="955100"/>
          <w:spacing w:val="22"/>
          <w:w w:val="105"/>
        </w:rPr>
        <w:t xml:space="preserve">JUST </w:t>
      </w:r>
      <w:r w:rsidRPr="00AC60E9">
        <w:rPr>
          <w:color w:val="955100"/>
          <w:spacing w:val="25"/>
          <w:w w:val="105"/>
        </w:rPr>
        <w:t xml:space="preserve">MANAGE RISKS, </w:t>
      </w:r>
      <w:r w:rsidRPr="00AC60E9">
        <w:rPr>
          <w:color w:val="955100"/>
          <w:spacing w:val="20"/>
          <w:w w:val="105"/>
        </w:rPr>
        <w:t xml:space="preserve">BUT </w:t>
      </w:r>
      <w:r w:rsidRPr="00AC60E9">
        <w:rPr>
          <w:color w:val="955100"/>
          <w:spacing w:val="22"/>
          <w:w w:val="105"/>
        </w:rPr>
        <w:t>ALSO</w:t>
      </w:r>
      <w:r w:rsidRPr="00AC60E9">
        <w:rPr>
          <w:color w:val="955100"/>
          <w:spacing w:val="40"/>
          <w:w w:val="105"/>
        </w:rPr>
        <w:t xml:space="preserve"> </w:t>
      </w:r>
      <w:r w:rsidRPr="00AC60E9">
        <w:rPr>
          <w:color w:val="955100"/>
          <w:spacing w:val="26"/>
          <w:w w:val="105"/>
        </w:rPr>
        <w:t xml:space="preserve">TRANSFORM </w:t>
      </w:r>
      <w:r w:rsidRPr="00AC60E9">
        <w:rPr>
          <w:color w:val="955100"/>
          <w:spacing w:val="20"/>
          <w:w w:val="105"/>
        </w:rPr>
        <w:t xml:space="preserve">THE </w:t>
      </w:r>
      <w:r w:rsidRPr="00AC60E9">
        <w:rPr>
          <w:color w:val="955100"/>
          <w:spacing w:val="27"/>
          <w:w w:val="105"/>
        </w:rPr>
        <w:t xml:space="preserve">UNDERLYING </w:t>
      </w:r>
      <w:r w:rsidRPr="00AC60E9">
        <w:rPr>
          <w:color w:val="955100"/>
          <w:spacing w:val="25"/>
          <w:w w:val="105"/>
        </w:rPr>
        <w:t xml:space="preserve">DRIVERS </w:t>
      </w:r>
      <w:r w:rsidRPr="00AC60E9">
        <w:rPr>
          <w:color w:val="955100"/>
          <w:spacing w:val="15"/>
          <w:w w:val="105"/>
        </w:rPr>
        <w:t>OF</w:t>
      </w:r>
    </w:p>
    <w:p w14:paraId="498A1974" w14:textId="77777777" w:rsidR="00F863EA" w:rsidRDefault="00FA4086">
      <w:pPr>
        <w:ind w:left="1403"/>
        <w:rPr>
          <w:rFonts w:ascii="Trebuchet MS"/>
          <w:b/>
          <w:sz w:val="30"/>
        </w:rPr>
      </w:pPr>
      <w:r w:rsidRPr="00AC60E9">
        <w:rPr>
          <w:rFonts w:ascii="Trebuchet MS"/>
          <w:b/>
          <w:color w:val="955100"/>
          <w:spacing w:val="27"/>
          <w:w w:val="105"/>
          <w:sz w:val="30"/>
        </w:rPr>
        <w:t>VULNERABILITY</w:t>
      </w:r>
      <w:r w:rsidRPr="00AC60E9">
        <w:rPr>
          <w:rFonts w:ascii="Trebuchet MS"/>
          <w:b/>
          <w:color w:val="955100"/>
          <w:spacing w:val="32"/>
          <w:w w:val="105"/>
          <w:sz w:val="30"/>
        </w:rPr>
        <w:t xml:space="preserve"> </w:t>
      </w:r>
      <w:r w:rsidRPr="00AC60E9">
        <w:rPr>
          <w:rFonts w:ascii="Trebuchet MS"/>
          <w:b/>
          <w:color w:val="955100"/>
          <w:spacing w:val="22"/>
          <w:w w:val="105"/>
          <w:sz w:val="30"/>
        </w:rPr>
        <w:t>THAT</w:t>
      </w:r>
      <w:r w:rsidRPr="00AC60E9">
        <w:rPr>
          <w:rFonts w:ascii="Trebuchet MS"/>
          <w:b/>
          <w:color w:val="955100"/>
          <w:spacing w:val="32"/>
          <w:w w:val="105"/>
          <w:sz w:val="30"/>
        </w:rPr>
        <w:t xml:space="preserve"> </w:t>
      </w:r>
      <w:r w:rsidRPr="00AC60E9">
        <w:rPr>
          <w:rFonts w:ascii="Trebuchet MS"/>
          <w:b/>
          <w:color w:val="955100"/>
          <w:spacing w:val="24"/>
          <w:w w:val="105"/>
          <w:sz w:val="30"/>
        </w:rPr>
        <w:t>SHAPE</w:t>
      </w:r>
      <w:r w:rsidRPr="00AC60E9">
        <w:rPr>
          <w:rFonts w:ascii="Trebuchet MS"/>
          <w:b/>
          <w:color w:val="955100"/>
          <w:spacing w:val="32"/>
          <w:w w:val="105"/>
          <w:sz w:val="30"/>
        </w:rPr>
        <w:t xml:space="preserve"> </w:t>
      </w:r>
      <w:r w:rsidRPr="00AC60E9">
        <w:rPr>
          <w:rFonts w:ascii="Trebuchet MS"/>
          <w:b/>
          <w:color w:val="955100"/>
          <w:spacing w:val="20"/>
          <w:w w:val="105"/>
          <w:sz w:val="30"/>
        </w:rPr>
        <w:t>RISK.</w:t>
      </w:r>
    </w:p>
    <w:p w14:paraId="498A1975" w14:textId="77777777" w:rsidR="00F863EA" w:rsidRDefault="00F863EA">
      <w:pPr>
        <w:pStyle w:val="BodyText"/>
        <w:rPr>
          <w:rFonts w:ascii="Trebuchet MS"/>
          <w:b/>
          <w:sz w:val="20"/>
        </w:rPr>
      </w:pPr>
    </w:p>
    <w:p w14:paraId="498A1976" w14:textId="77777777" w:rsidR="00F863EA" w:rsidRDefault="00F863EA">
      <w:pPr>
        <w:pStyle w:val="BodyText"/>
        <w:spacing w:before="96"/>
        <w:rPr>
          <w:rFonts w:ascii="Trebuchet MS"/>
          <w:b/>
          <w:sz w:val="20"/>
        </w:rPr>
      </w:pPr>
    </w:p>
    <w:p w14:paraId="498A1977" w14:textId="77777777" w:rsidR="00F863EA" w:rsidRDefault="00F863EA">
      <w:pPr>
        <w:pStyle w:val="BodyText"/>
        <w:rPr>
          <w:rFonts w:ascii="Trebuchet MS"/>
          <w:b/>
          <w:sz w:val="20"/>
        </w:rPr>
        <w:sectPr w:rsidR="00F863EA">
          <w:type w:val="continuous"/>
          <w:pgSz w:w="11910" w:h="16850"/>
          <w:pgMar w:top="600" w:right="141" w:bottom="0" w:left="141" w:header="720" w:footer="720" w:gutter="0"/>
          <w:cols w:space="720"/>
        </w:sectPr>
      </w:pPr>
    </w:p>
    <w:p w14:paraId="498A1978" w14:textId="77777777" w:rsidR="00F863EA" w:rsidRDefault="00FA4086">
      <w:pPr>
        <w:pStyle w:val="BodyText"/>
        <w:spacing w:before="56" w:line="283" w:lineRule="auto"/>
        <w:ind w:left="522"/>
        <w:jc w:val="both"/>
      </w:pPr>
      <w:r>
        <w:rPr>
          <w:color w:val="535353"/>
        </w:rPr>
        <w:t>DRR must transform the underlying conditions that create risk exposure and vulnerability by addressing root causes such as inequality and exploitation. Transformative DRR empowers communities, strengthens adaptative capacities, and enables people to build resilient and future-proof societies.</w:t>
      </w:r>
    </w:p>
    <w:p w14:paraId="498A1979" w14:textId="77777777" w:rsidR="00F863EA" w:rsidRDefault="00F863EA">
      <w:pPr>
        <w:pStyle w:val="BodyText"/>
        <w:spacing w:before="44"/>
      </w:pPr>
    </w:p>
    <w:p w14:paraId="498A197A" w14:textId="77777777" w:rsidR="00F863EA" w:rsidRDefault="00FA4086">
      <w:pPr>
        <w:pStyle w:val="BodyText"/>
        <w:spacing w:before="1" w:line="283" w:lineRule="auto"/>
        <w:ind w:left="522"/>
        <w:jc w:val="both"/>
      </w:pPr>
      <w:r>
        <w:rPr>
          <w:color w:val="535353"/>
        </w:rPr>
        <w:t>Today’s risks are increasingly complex, overlapping and</w:t>
      </w:r>
      <w:r>
        <w:rPr>
          <w:color w:val="535353"/>
          <w:spacing w:val="-2"/>
        </w:rPr>
        <w:t xml:space="preserve"> </w:t>
      </w:r>
      <w:r>
        <w:rPr>
          <w:color w:val="535353"/>
        </w:rPr>
        <w:t>interconnected.</w:t>
      </w:r>
      <w:r>
        <w:rPr>
          <w:color w:val="535353"/>
          <w:spacing w:val="-2"/>
        </w:rPr>
        <w:t xml:space="preserve"> </w:t>
      </w:r>
      <w:r>
        <w:rPr>
          <w:color w:val="535353"/>
        </w:rPr>
        <w:t>Effective</w:t>
      </w:r>
      <w:r>
        <w:rPr>
          <w:color w:val="535353"/>
          <w:spacing w:val="-2"/>
        </w:rPr>
        <w:t xml:space="preserve"> </w:t>
      </w:r>
      <w:r>
        <w:rPr>
          <w:color w:val="535353"/>
        </w:rPr>
        <w:t>DRR</w:t>
      </w:r>
      <w:r>
        <w:rPr>
          <w:color w:val="535353"/>
          <w:spacing w:val="-2"/>
        </w:rPr>
        <w:t xml:space="preserve"> </w:t>
      </w:r>
      <w:r>
        <w:rPr>
          <w:color w:val="535353"/>
        </w:rPr>
        <w:t>cannot</w:t>
      </w:r>
      <w:r>
        <w:rPr>
          <w:color w:val="535353"/>
          <w:spacing w:val="-2"/>
        </w:rPr>
        <w:t xml:space="preserve"> </w:t>
      </w:r>
      <w:r>
        <w:rPr>
          <w:color w:val="535353"/>
        </w:rPr>
        <w:t>be</w:t>
      </w:r>
      <w:r>
        <w:rPr>
          <w:color w:val="535353"/>
          <w:spacing w:val="-2"/>
        </w:rPr>
        <w:t xml:space="preserve"> </w:t>
      </w:r>
      <w:r>
        <w:rPr>
          <w:color w:val="535353"/>
        </w:rPr>
        <w:t>achieved in silos, and humanitarian response efforts alone cannot keep pace with rising risks. A transformative approach to DRR connects the entire disaster-risk cycle – from risk identification and reduction to preparedness, anticipation, response and recovery.</w:t>
      </w:r>
    </w:p>
    <w:p w14:paraId="498A197B" w14:textId="77777777" w:rsidR="00F863EA" w:rsidRDefault="00FA4086">
      <w:pPr>
        <w:pStyle w:val="BodyText"/>
        <w:spacing w:before="72" w:line="283" w:lineRule="auto"/>
        <w:ind w:left="281" w:right="521"/>
        <w:jc w:val="both"/>
      </w:pPr>
      <w:r>
        <w:br w:type="column"/>
      </w:r>
      <w:r>
        <w:rPr>
          <w:color w:val="535353"/>
        </w:rPr>
        <w:t>Building true resilience requires linking DRR and development strategies. Predictable, adequate funding is needed for integrated, sustained DRR to ensure responsible</w:t>
      </w:r>
      <w:r>
        <w:rPr>
          <w:color w:val="535353"/>
          <w:spacing w:val="-2"/>
        </w:rPr>
        <w:t xml:space="preserve"> </w:t>
      </w:r>
      <w:r>
        <w:rPr>
          <w:color w:val="535353"/>
        </w:rPr>
        <w:t>and</w:t>
      </w:r>
      <w:r>
        <w:rPr>
          <w:color w:val="535353"/>
          <w:spacing w:val="-2"/>
        </w:rPr>
        <w:t xml:space="preserve"> </w:t>
      </w:r>
      <w:r>
        <w:rPr>
          <w:color w:val="535353"/>
        </w:rPr>
        <w:t>accountable</w:t>
      </w:r>
      <w:r>
        <w:rPr>
          <w:color w:val="535353"/>
          <w:spacing w:val="-2"/>
        </w:rPr>
        <w:t xml:space="preserve"> </w:t>
      </w:r>
      <w:r>
        <w:rPr>
          <w:color w:val="535353"/>
        </w:rPr>
        <w:t>support</w:t>
      </w:r>
      <w:r>
        <w:rPr>
          <w:color w:val="535353"/>
          <w:spacing w:val="-2"/>
        </w:rPr>
        <w:t xml:space="preserve"> </w:t>
      </w:r>
      <w:r>
        <w:rPr>
          <w:color w:val="535353"/>
        </w:rPr>
        <w:t>for</w:t>
      </w:r>
      <w:r>
        <w:rPr>
          <w:color w:val="535353"/>
          <w:spacing w:val="-2"/>
        </w:rPr>
        <w:t xml:space="preserve"> </w:t>
      </w:r>
      <w:r>
        <w:rPr>
          <w:color w:val="535353"/>
        </w:rPr>
        <w:t>people</w:t>
      </w:r>
      <w:r>
        <w:rPr>
          <w:color w:val="535353"/>
          <w:spacing w:val="-2"/>
        </w:rPr>
        <w:t xml:space="preserve"> </w:t>
      </w:r>
      <w:r>
        <w:rPr>
          <w:color w:val="535353"/>
        </w:rPr>
        <w:t>at</w:t>
      </w:r>
      <w:r>
        <w:rPr>
          <w:color w:val="535353"/>
          <w:spacing w:val="-2"/>
        </w:rPr>
        <w:t xml:space="preserve"> </w:t>
      </w:r>
      <w:r>
        <w:rPr>
          <w:color w:val="535353"/>
        </w:rPr>
        <w:t>risk. Investing</w:t>
      </w:r>
      <w:r>
        <w:rPr>
          <w:color w:val="535353"/>
          <w:spacing w:val="-7"/>
        </w:rPr>
        <w:t xml:space="preserve"> </w:t>
      </w:r>
      <w:r>
        <w:rPr>
          <w:color w:val="535353"/>
        </w:rPr>
        <w:t>in</w:t>
      </w:r>
      <w:r>
        <w:rPr>
          <w:color w:val="535353"/>
          <w:spacing w:val="-7"/>
        </w:rPr>
        <w:t xml:space="preserve"> </w:t>
      </w:r>
      <w:r>
        <w:rPr>
          <w:color w:val="535353"/>
        </w:rPr>
        <w:t>DRR</w:t>
      </w:r>
      <w:r>
        <w:rPr>
          <w:color w:val="535353"/>
          <w:spacing w:val="-7"/>
        </w:rPr>
        <w:t xml:space="preserve"> </w:t>
      </w:r>
      <w:r>
        <w:rPr>
          <w:color w:val="535353"/>
        </w:rPr>
        <w:t>is</w:t>
      </w:r>
      <w:r>
        <w:rPr>
          <w:color w:val="535353"/>
          <w:spacing w:val="-7"/>
        </w:rPr>
        <w:t xml:space="preserve"> </w:t>
      </w:r>
      <w:r>
        <w:rPr>
          <w:color w:val="535353"/>
        </w:rPr>
        <w:t>not</w:t>
      </w:r>
      <w:r>
        <w:rPr>
          <w:color w:val="535353"/>
          <w:spacing w:val="-7"/>
        </w:rPr>
        <w:t xml:space="preserve"> </w:t>
      </w:r>
      <w:r>
        <w:rPr>
          <w:color w:val="535353"/>
        </w:rPr>
        <w:t>only</w:t>
      </w:r>
      <w:r>
        <w:rPr>
          <w:color w:val="535353"/>
          <w:spacing w:val="-7"/>
        </w:rPr>
        <w:t xml:space="preserve"> </w:t>
      </w:r>
      <w:r>
        <w:rPr>
          <w:color w:val="535353"/>
        </w:rPr>
        <w:t>cost-effective;</w:t>
      </w:r>
      <w:r>
        <w:rPr>
          <w:color w:val="535353"/>
          <w:spacing w:val="-7"/>
        </w:rPr>
        <w:t xml:space="preserve"> </w:t>
      </w:r>
      <w:r>
        <w:rPr>
          <w:color w:val="535353"/>
        </w:rPr>
        <w:t>it</w:t>
      </w:r>
      <w:r>
        <w:rPr>
          <w:color w:val="535353"/>
          <w:spacing w:val="-7"/>
        </w:rPr>
        <w:t xml:space="preserve"> </w:t>
      </w:r>
      <w:r>
        <w:rPr>
          <w:color w:val="535353"/>
        </w:rPr>
        <w:t>also</w:t>
      </w:r>
      <w:r>
        <w:rPr>
          <w:color w:val="535353"/>
          <w:spacing w:val="-7"/>
        </w:rPr>
        <w:t xml:space="preserve"> </w:t>
      </w:r>
      <w:r>
        <w:rPr>
          <w:color w:val="535353"/>
        </w:rPr>
        <w:t>saves lives and livelihoods and upholds dignity.</w:t>
      </w:r>
    </w:p>
    <w:p w14:paraId="498A197C" w14:textId="77777777" w:rsidR="00F863EA" w:rsidRDefault="00F863EA">
      <w:pPr>
        <w:pStyle w:val="BodyText"/>
        <w:spacing w:before="44"/>
      </w:pPr>
    </w:p>
    <w:p w14:paraId="498A197D" w14:textId="77777777" w:rsidR="00F863EA" w:rsidRDefault="00FA4086">
      <w:pPr>
        <w:pStyle w:val="BodyText"/>
        <w:spacing w:before="1" w:line="283" w:lineRule="auto"/>
        <w:ind w:left="281" w:right="520"/>
        <w:jc w:val="both"/>
      </w:pPr>
      <w:r>
        <w:rPr>
          <w:color w:val="535353"/>
        </w:rPr>
        <w:t>Governments, donors and institutions must step up</w:t>
      </w:r>
      <w:r>
        <w:rPr>
          <w:color w:val="535353"/>
          <w:spacing w:val="40"/>
        </w:rPr>
        <w:t xml:space="preserve"> </w:t>
      </w:r>
      <w:r>
        <w:rPr>
          <w:color w:val="535353"/>
        </w:rPr>
        <w:t>with</w:t>
      </w:r>
      <w:r>
        <w:rPr>
          <w:color w:val="535353"/>
          <w:spacing w:val="-7"/>
        </w:rPr>
        <w:t xml:space="preserve"> </w:t>
      </w:r>
      <w:r>
        <w:rPr>
          <w:color w:val="535353"/>
        </w:rPr>
        <w:t>bold,</w:t>
      </w:r>
      <w:r>
        <w:rPr>
          <w:color w:val="535353"/>
          <w:spacing w:val="-7"/>
        </w:rPr>
        <w:t xml:space="preserve"> </w:t>
      </w:r>
      <w:r>
        <w:rPr>
          <w:color w:val="535353"/>
        </w:rPr>
        <w:t>sustained</w:t>
      </w:r>
      <w:r>
        <w:rPr>
          <w:color w:val="535353"/>
          <w:spacing w:val="-7"/>
        </w:rPr>
        <w:t xml:space="preserve"> </w:t>
      </w:r>
      <w:r>
        <w:rPr>
          <w:color w:val="535353"/>
        </w:rPr>
        <w:t>commitments</w:t>
      </w:r>
      <w:r>
        <w:rPr>
          <w:color w:val="535353"/>
          <w:spacing w:val="-7"/>
        </w:rPr>
        <w:t xml:space="preserve"> </w:t>
      </w:r>
      <w:r>
        <w:rPr>
          <w:color w:val="535353"/>
        </w:rPr>
        <w:t>–</w:t>
      </w:r>
      <w:r>
        <w:rPr>
          <w:color w:val="535353"/>
          <w:spacing w:val="-7"/>
        </w:rPr>
        <w:t xml:space="preserve"> </w:t>
      </w:r>
      <w:r>
        <w:rPr>
          <w:color w:val="535353"/>
        </w:rPr>
        <w:t>beyond</w:t>
      </w:r>
      <w:r>
        <w:rPr>
          <w:color w:val="535353"/>
          <w:spacing w:val="-7"/>
        </w:rPr>
        <w:t xml:space="preserve"> </w:t>
      </w:r>
      <w:r>
        <w:rPr>
          <w:color w:val="535353"/>
        </w:rPr>
        <w:t>the</w:t>
      </w:r>
      <w:r>
        <w:rPr>
          <w:color w:val="535353"/>
          <w:spacing w:val="-7"/>
        </w:rPr>
        <w:t xml:space="preserve"> </w:t>
      </w:r>
      <w:r>
        <w:rPr>
          <w:color w:val="535353"/>
        </w:rPr>
        <w:t>Sendai Framework for Disaster Risk Reduction – that make DRR inclusive, coherent and responsive to the complexity of today’s risks.</w:t>
      </w:r>
    </w:p>
    <w:p w14:paraId="498A197E" w14:textId="77777777" w:rsidR="00F863EA" w:rsidRDefault="00F863EA">
      <w:pPr>
        <w:pStyle w:val="BodyText"/>
        <w:spacing w:line="283" w:lineRule="auto"/>
        <w:jc w:val="both"/>
        <w:sectPr w:rsidR="00F863EA">
          <w:type w:val="continuous"/>
          <w:pgSz w:w="11910" w:h="16850"/>
          <w:pgMar w:top="600" w:right="141" w:bottom="0" w:left="141" w:header="720" w:footer="720" w:gutter="0"/>
          <w:cols w:num="2" w:space="720" w:equalWidth="0">
            <w:col w:w="5654" w:space="40"/>
            <w:col w:w="5934"/>
          </w:cols>
        </w:sectPr>
      </w:pPr>
    </w:p>
    <w:p w14:paraId="498A197F" w14:textId="77777777" w:rsidR="00F863EA" w:rsidRDefault="00FA4086">
      <w:pPr>
        <w:pStyle w:val="BodyText"/>
        <w:rPr>
          <w:sz w:val="11"/>
        </w:rPr>
      </w:pPr>
      <w:r>
        <w:rPr>
          <w:noProof/>
          <w:sz w:val="11"/>
        </w:rPr>
        <mc:AlternateContent>
          <mc:Choice Requires="wps">
            <w:drawing>
              <wp:anchor distT="0" distB="0" distL="0" distR="0" simplePos="0" relativeHeight="251658243" behindDoc="0" locked="0" layoutInCell="1" allowOverlap="1" wp14:anchorId="498A1999" wp14:editId="224194E5">
                <wp:simplePos x="0" y="0"/>
                <wp:positionH relativeFrom="page">
                  <wp:posOffset>0</wp:posOffset>
                </wp:positionH>
                <wp:positionV relativeFrom="page">
                  <wp:posOffset>0</wp:posOffset>
                </wp:positionV>
                <wp:extent cx="7562850" cy="9436100"/>
                <wp:effectExtent l="0" t="0" r="0" b="0"/>
                <wp:wrapNone/>
                <wp:docPr id="9" name="Graphic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2850" cy="9436100"/>
                        </a:xfrm>
                        <a:custGeom>
                          <a:avLst/>
                          <a:gdLst/>
                          <a:ahLst/>
                          <a:cxnLst/>
                          <a:rect l="l" t="t" r="r" b="b"/>
                          <a:pathLst>
                            <a:path w="7562850" h="9436100">
                              <a:moveTo>
                                <a:pt x="7562850" y="9435853"/>
                              </a:moveTo>
                              <a:lnTo>
                                <a:pt x="0" y="9435853"/>
                              </a:lnTo>
                              <a:lnTo>
                                <a:pt x="0" y="0"/>
                              </a:lnTo>
                              <a:lnTo>
                                <a:pt x="7562850" y="0"/>
                              </a:lnTo>
                              <a:lnTo>
                                <a:pt x="7562850" y="9435853"/>
                              </a:lnTo>
                              <a:close/>
                            </a:path>
                          </a:pathLst>
                        </a:custGeom>
                        <a:solidFill>
                          <a:srgbClr val="FFBD58">
                            <a:alpha val="11999"/>
                          </a:srgbClr>
                        </a:solidFill>
                      </wps:spPr>
                      <wps:bodyPr wrap="square" lIns="0" tIns="0" rIns="0" bIns="0" rtlCol="0">
                        <a:prstTxWarp prst="textNoShape">
                          <a:avLst/>
                        </a:prstTxWarp>
                        <a:noAutofit/>
                      </wps:bodyPr>
                    </wps:wsp>
                  </a:graphicData>
                </a:graphic>
              </wp:anchor>
            </w:drawing>
          </mc:Choice>
          <mc:Fallback>
            <w:pict>
              <v:shape w14:anchorId="7D0751CC" id="Graphic 9" o:spid="_x0000_s1026" alt="&quot;&quot;" style="position:absolute;margin-left:0;margin-top:0;width:595.5pt;height:743pt;z-index:15736832;visibility:visible;mso-wrap-style:square;mso-wrap-distance-left:0;mso-wrap-distance-top:0;mso-wrap-distance-right:0;mso-wrap-distance-bottom:0;mso-position-horizontal:absolute;mso-position-horizontal-relative:page;mso-position-vertical:absolute;mso-position-vertical-relative:page;v-text-anchor:top" coordsize="7562850,9436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" path="m7562850,9435853l,9435853,,,7562850,r,9435853xe" fillcolor="#ffbd58" stroked="f">
                <v:fill opacity="7967f"/>
                <v:path arrowok="t"/>
                <w10:wrap anchorx="page" anchory="page"/>
              </v:shape>
            </w:pict>
          </mc:Fallback>
        </mc:AlternateContent>
      </w:r>
    </w:p>
    <w:p w14:paraId="498A1980" w14:textId="77777777" w:rsidR="00F863EA" w:rsidRDefault="00F863EA">
      <w:pPr>
        <w:pStyle w:val="BodyText"/>
        <w:rPr>
          <w:sz w:val="11"/>
        </w:rPr>
      </w:pPr>
    </w:p>
    <w:p w14:paraId="498A1981" w14:textId="77777777" w:rsidR="00F863EA" w:rsidRDefault="00F863EA">
      <w:pPr>
        <w:pStyle w:val="BodyText"/>
        <w:rPr>
          <w:sz w:val="11"/>
        </w:rPr>
      </w:pPr>
    </w:p>
    <w:p w14:paraId="498A1982" w14:textId="77777777" w:rsidR="00F863EA" w:rsidRDefault="00F863EA">
      <w:pPr>
        <w:pStyle w:val="BodyText"/>
        <w:spacing w:before="13"/>
        <w:rPr>
          <w:sz w:val="11"/>
        </w:rPr>
      </w:pPr>
    </w:p>
    <w:p w14:paraId="498A1983" w14:textId="77777777" w:rsidR="00F863EA" w:rsidRDefault="00FA4086">
      <w:pPr>
        <w:ind w:left="6820"/>
        <w:rPr>
          <w:sz w:val="11"/>
        </w:rPr>
      </w:pPr>
      <w:r>
        <w:rPr>
          <w:color w:val="535353"/>
          <w:w w:val="105"/>
          <w:sz w:val="11"/>
        </w:rPr>
        <w:t>[1]</w:t>
      </w:r>
      <w:r>
        <w:rPr>
          <w:color w:val="535353"/>
          <w:spacing w:val="6"/>
          <w:w w:val="105"/>
          <w:sz w:val="11"/>
        </w:rPr>
        <w:t xml:space="preserve"> </w:t>
      </w:r>
      <w:r>
        <w:rPr>
          <w:color w:val="535353"/>
          <w:w w:val="105"/>
          <w:sz w:val="11"/>
        </w:rPr>
        <w:t>UNDRR</w:t>
      </w:r>
      <w:r>
        <w:rPr>
          <w:color w:val="535353"/>
          <w:spacing w:val="6"/>
          <w:w w:val="105"/>
          <w:sz w:val="11"/>
        </w:rPr>
        <w:t xml:space="preserve"> </w:t>
      </w:r>
      <w:r>
        <w:rPr>
          <w:color w:val="535353"/>
          <w:w w:val="105"/>
          <w:sz w:val="11"/>
        </w:rPr>
        <w:t>–</w:t>
      </w:r>
      <w:r>
        <w:rPr>
          <w:color w:val="535353"/>
          <w:spacing w:val="6"/>
          <w:w w:val="105"/>
          <w:sz w:val="11"/>
        </w:rPr>
        <w:t xml:space="preserve"> </w:t>
      </w:r>
      <w:r>
        <w:rPr>
          <w:color w:val="535353"/>
          <w:w w:val="105"/>
          <w:sz w:val="11"/>
        </w:rPr>
        <w:t>International</w:t>
      </w:r>
      <w:r>
        <w:rPr>
          <w:color w:val="535353"/>
          <w:spacing w:val="6"/>
          <w:w w:val="105"/>
          <w:sz w:val="11"/>
        </w:rPr>
        <w:t xml:space="preserve"> </w:t>
      </w:r>
      <w:r>
        <w:rPr>
          <w:color w:val="535353"/>
          <w:w w:val="105"/>
          <w:sz w:val="11"/>
        </w:rPr>
        <w:t>Day</w:t>
      </w:r>
      <w:r>
        <w:rPr>
          <w:color w:val="535353"/>
          <w:spacing w:val="6"/>
          <w:w w:val="105"/>
          <w:sz w:val="11"/>
        </w:rPr>
        <w:t xml:space="preserve"> </w:t>
      </w:r>
      <w:r>
        <w:rPr>
          <w:color w:val="535353"/>
          <w:w w:val="105"/>
          <w:sz w:val="11"/>
        </w:rPr>
        <w:t>for</w:t>
      </w:r>
      <w:r>
        <w:rPr>
          <w:color w:val="535353"/>
          <w:spacing w:val="6"/>
          <w:w w:val="105"/>
          <w:sz w:val="11"/>
        </w:rPr>
        <w:t xml:space="preserve"> </w:t>
      </w:r>
      <w:r>
        <w:rPr>
          <w:color w:val="535353"/>
          <w:w w:val="105"/>
          <w:sz w:val="11"/>
        </w:rPr>
        <w:t>Disaster</w:t>
      </w:r>
      <w:r>
        <w:rPr>
          <w:color w:val="535353"/>
          <w:spacing w:val="6"/>
          <w:w w:val="105"/>
          <w:sz w:val="11"/>
        </w:rPr>
        <w:t xml:space="preserve"> </w:t>
      </w:r>
      <w:r>
        <w:rPr>
          <w:color w:val="535353"/>
          <w:w w:val="105"/>
          <w:sz w:val="11"/>
        </w:rPr>
        <w:t>Risk</w:t>
      </w:r>
      <w:r>
        <w:rPr>
          <w:color w:val="535353"/>
          <w:spacing w:val="6"/>
          <w:w w:val="105"/>
          <w:sz w:val="11"/>
        </w:rPr>
        <w:t xml:space="preserve"> </w:t>
      </w:r>
      <w:r>
        <w:rPr>
          <w:color w:val="535353"/>
          <w:w w:val="105"/>
          <w:sz w:val="11"/>
        </w:rPr>
        <w:t>Reduction:</w:t>
      </w:r>
      <w:r>
        <w:rPr>
          <w:color w:val="535353"/>
          <w:spacing w:val="7"/>
          <w:w w:val="105"/>
          <w:sz w:val="11"/>
        </w:rPr>
        <w:t xml:space="preserve"> </w:t>
      </w:r>
      <w:r>
        <w:rPr>
          <w:color w:val="535353"/>
          <w:spacing w:val="-2"/>
          <w:w w:val="105"/>
          <w:sz w:val="11"/>
        </w:rPr>
        <w:t>https://iddrr.undrr.org/</w:t>
      </w:r>
    </w:p>
    <w:p w14:paraId="498A1984" w14:textId="77777777" w:rsidR="00F863EA" w:rsidRDefault="00F863EA">
      <w:pPr>
        <w:pStyle w:val="BodyText"/>
        <w:rPr>
          <w:sz w:val="20"/>
        </w:rPr>
      </w:pPr>
    </w:p>
    <w:p w14:paraId="498A1985" w14:textId="77777777" w:rsidR="00F863EA" w:rsidRDefault="00F863EA">
      <w:pPr>
        <w:pStyle w:val="BodyText"/>
        <w:rPr>
          <w:sz w:val="20"/>
        </w:rPr>
      </w:pPr>
    </w:p>
    <w:p w14:paraId="498A1986" w14:textId="77777777" w:rsidR="00F863EA" w:rsidRDefault="00F863EA">
      <w:pPr>
        <w:pStyle w:val="BodyText"/>
        <w:rPr>
          <w:sz w:val="20"/>
        </w:rPr>
      </w:pPr>
    </w:p>
    <w:p w14:paraId="498A1987" w14:textId="77777777" w:rsidR="00F863EA" w:rsidRDefault="00F863EA">
      <w:pPr>
        <w:pStyle w:val="BodyText"/>
        <w:rPr>
          <w:sz w:val="20"/>
        </w:rPr>
      </w:pPr>
    </w:p>
    <w:p w14:paraId="498A1988" w14:textId="11DE5573" w:rsidR="00F863EA" w:rsidRDefault="00F863EA">
      <w:pPr>
        <w:pStyle w:val="BodyText"/>
        <w:spacing w:before="202"/>
        <w:rPr>
          <w:sz w:val="20"/>
        </w:rPr>
      </w:pPr>
    </w:p>
    <w:sectPr w:rsidR="00F863EA">
      <w:type w:val="continuous"/>
      <w:pgSz w:w="11910" w:h="16850"/>
      <w:pgMar w:top="600" w:right="141" w:bottom="0" w:left="14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604F25"/>
    <w:multiLevelType w:val="hybridMultilevel"/>
    <w:tmpl w:val="F1748C00"/>
    <w:lvl w:ilvl="0" w:tplc="04090001">
      <w:start w:val="1"/>
      <w:numFmt w:val="bullet"/>
      <w:lvlText w:val=""/>
      <w:lvlJc w:val="left"/>
      <w:pPr>
        <w:ind w:left="1297" w:hanging="360"/>
      </w:pPr>
      <w:rPr>
        <w:rFonts w:ascii="Symbol" w:hAnsi="Symbol" w:hint="default"/>
      </w:rPr>
    </w:lvl>
    <w:lvl w:ilvl="1" w:tplc="04090003" w:tentative="1">
      <w:start w:val="1"/>
      <w:numFmt w:val="bullet"/>
      <w:lvlText w:val="o"/>
      <w:lvlJc w:val="left"/>
      <w:pPr>
        <w:ind w:left="2017" w:hanging="360"/>
      </w:pPr>
      <w:rPr>
        <w:rFonts w:ascii="Courier New" w:hAnsi="Courier New" w:cs="Courier New" w:hint="default"/>
      </w:rPr>
    </w:lvl>
    <w:lvl w:ilvl="2" w:tplc="04090005" w:tentative="1">
      <w:start w:val="1"/>
      <w:numFmt w:val="bullet"/>
      <w:lvlText w:val=""/>
      <w:lvlJc w:val="left"/>
      <w:pPr>
        <w:ind w:left="2737" w:hanging="360"/>
      </w:pPr>
      <w:rPr>
        <w:rFonts w:ascii="Wingdings" w:hAnsi="Wingdings" w:hint="default"/>
      </w:rPr>
    </w:lvl>
    <w:lvl w:ilvl="3" w:tplc="04090001" w:tentative="1">
      <w:start w:val="1"/>
      <w:numFmt w:val="bullet"/>
      <w:lvlText w:val=""/>
      <w:lvlJc w:val="left"/>
      <w:pPr>
        <w:ind w:left="3457" w:hanging="360"/>
      </w:pPr>
      <w:rPr>
        <w:rFonts w:ascii="Symbol" w:hAnsi="Symbol" w:hint="default"/>
      </w:rPr>
    </w:lvl>
    <w:lvl w:ilvl="4" w:tplc="04090003" w:tentative="1">
      <w:start w:val="1"/>
      <w:numFmt w:val="bullet"/>
      <w:lvlText w:val="o"/>
      <w:lvlJc w:val="left"/>
      <w:pPr>
        <w:ind w:left="4177" w:hanging="360"/>
      </w:pPr>
      <w:rPr>
        <w:rFonts w:ascii="Courier New" w:hAnsi="Courier New" w:cs="Courier New" w:hint="default"/>
      </w:rPr>
    </w:lvl>
    <w:lvl w:ilvl="5" w:tplc="04090005" w:tentative="1">
      <w:start w:val="1"/>
      <w:numFmt w:val="bullet"/>
      <w:lvlText w:val=""/>
      <w:lvlJc w:val="left"/>
      <w:pPr>
        <w:ind w:left="4897" w:hanging="360"/>
      </w:pPr>
      <w:rPr>
        <w:rFonts w:ascii="Wingdings" w:hAnsi="Wingdings" w:hint="default"/>
      </w:rPr>
    </w:lvl>
    <w:lvl w:ilvl="6" w:tplc="04090001" w:tentative="1">
      <w:start w:val="1"/>
      <w:numFmt w:val="bullet"/>
      <w:lvlText w:val=""/>
      <w:lvlJc w:val="left"/>
      <w:pPr>
        <w:ind w:left="5617" w:hanging="360"/>
      </w:pPr>
      <w:rPr>
        <w:rFonts w:ascii="Symbol" w:hAnsi="Symbol" w:hint="default"/>
      </w:rPr>
    </w:lvl>
    <w:lvl w:ilvl="7" w:tplc="04090003" w:tentative="1">
      <w:start w:val="1"/>
      <w:numFmt w:val="bullet"/>
      <w:lvlText w:val="o"/>
      <w:lvlJc w:val="left"/>
      <w:pPr>
        <w:ind w:left="6337" w:hanging="360"/>
      </w:pPr>
      <w:rPr>
        <w:rFonts w:ascii="Courier New" w:hAnsi="Courier New" w:cs="Courier New" w:hint="default"/>
      </w:rPr>
    </w:lvl>
    <w:lvl w:ilvl="8" w:tplc="04090005" w:tentative="1">
      <w:start w:val="1"/>
      <w:numFmt w:val="bullet"/>
      <w:lvlText w:val=""/>
      <w:lvlJc w:val="left"/>
      <w:pPr>
        <w:ind w:left="7057" w:hanging="360"/>
      </w:pPr>
      <w:rPr>
        <w:rFonts w:ascii="Wingdings" w:hAnsi="Wingdings" w:hint="default"/>
      </w:rPr>
    </w:lvl>
  </w:abstractNum>
  <w:abstractNum w:abstractNumId="1" w15:restartNumberingAfterBreak="0">
    <w:nsid w:val="6A77139E"/>
    <w:multiLevelType w:val="hybridMultilevel"/>
    <w:tmpl w:val="704209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72655614">
    <w:abstractNumId w:val="0"/>
  </w:num>
  <w:num w:numId="2" w16cid:durableId="11113647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63EA"/>
    <w:rsid w:val="00193A06"/>
    <w:rsid w:val="00206D2E"/>
    <w:rsid w:val="002F2CBD"/>
    <w:rsid w:val="00303CB8"/>
    <w:rsid w:val="004B7842"/>
    <w:rsid w:val="00562CDA"/>
    <w:rsid w:val="00800142"/>
    <w:rsid w:val="00AC60E9"/>
    <w:rsid w:val="00DD2625"/>
    <w:rsid w:val="00F863EA"/>
    <w:rsid w:val="00FA40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A194C"/>
  <w15:docId w15:val="{6C55C466-1928-40FB-A3C7-7BD576D39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403"/>
      <w:outlineLvl w:val="0"/>
    </w:pPr>
    <w:rPr>
      <w:rFonts w:ascii="Trebuchet MS" w:eastAsia="Trebuchet MS" w:hAnsi="Trebuchet MS" w:cs="Trebuchet MS"/>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1"/>
      <w:szCs w:val="21"/>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a0c42d2-674a-42ce-ab3a-8e202928877b">
      <Terms xmlns="http://schemas.microsoft.com/office/infopath/2007/PartnerControls"/>
    </lcf76f155ced4ddcb4097134ff3c332f>
    <TaxCatchAll xmlns="981c9a22-60dc-4154-9453-83b0d96422f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14b081dec7aa6d72d99bf0f725b6784e">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fc37a7427c6677e38e685cc45fc3017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47AD6D-ABA8-4D26-A74B-33B3414424C2}">
  <ds:schemaRefs>
    <ds:schemaRef ds:uri="http://schemas.microsoft.com/office/2006/metadata/properties"/>
    <ds:schemaRef ds:uri="http://schemas.microsoft.com/office/infopath/2007/PartnerControls"/>
    <ds:schemaRef ds:uri="http://schemas.microsoft.com/sharepoint/v3"/>
    <ds:schemaRef ds:uri="54f1cc58-934b-4382-96f3-312af0a7c1a9"/>
    <ds:schemaRef ds:uri="e9bb3495-6a27-470c-b155-034a6a307984"/>
  </ds:schemaRefs>
</ds:datastoreItem>
</file>

<file path=customXml/itemProps2.xml><?xml version="1.0" encoding="utf-8"?>
<ds:datastoreItem xmlns:ds="http://schemas.openxmlformats.org/officeDocument/2006/customXml" ds:itemID="{AF61F48A-DC0D-4A32-A4D5-13C51C103610}">
  <ds:schemaRefs>
    <ds:schemaRef ds:uri="http://schemas.microsoft.com/sharepoint/v3/contenttype/forms"/>
  </ds:schemaRefs>
</ds:datastoreItem>
</file>

<file path=customXml/itemProps3.xml><?xml version="1.0" encoding="utf-8"?>
<ds:datastoreItem xmlns:ds="http://schemas.openxmlformats.org/officeDocument/2006/customXml" ds:itemID="{15FD8411-EDDE-443A-BDE1-173977909374}"/>
</file>

<file path=docProps/app.xml><?xml version="1.0" encoding="utf-8"?>
<Properties xmlns="http://schemas.openxmlformats.org/officeDocument/2006/extended-properties" xmlns:vt="http://schemas.openxmlformats.org/officeDocument/2006/docPropsVTypes">
  <Template>Normal</Template>
  <TotalTime>0</TotalTime>
  <Pages>2</Pages>
  <Words>887</Words>
  <Characters>5061</Characters>
  <Application>Microsoft Office Word</Application>
  <DocSecurity>0</DocSecurity>
  <Lines>42</Lines>
  <Paragraphs>11</Paragraphs>
  <ScaleCrop>false</ScaleCrop>
  <Company/>
  <LinksUpToDate>false</LinksUpToDate>
  <CharactersWithSpaces>5937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Two-Pager International Day for DRR - Preparedness WG</dc:title>
  <dc:creator>Tabea Junker</dc:creator>
  <cp:keywords>DAG1BMBsAu4,BAEvahhpTUo,0</cp:keywords>
  <cp:lastModifiedBy>Cox, Samantha</cp:lastModifiedBy>
  <cp:revision>4</cp:revision>
  <dcterms:created xsi:type="dcterms:W3CDTF">2025-10-10T14:49:00Z</dcterms:created>
  <dcterms:modified xsi:type="dcterms:W3CDTF">2025-10-10T14:51:00Z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2025-10-10T00:00:00Z</vt:filetime>
  </property>
  <property fmtid="{D5CDD505-2E9C-101B-9397-08002B2CF9AE}" pid="3" name="Creator">
    <vt:lpwstr>Canva</vt:lpwstr>
  </property>
  <property fmtid="{D5CDD505-2E9C-101B-9397-08002B2CF9AE}" pid="4" name="LastSaved">
    <vt:filetime>2025-10-10T00:00:00Z</vt:filetime>
  </property>
  <property fmtid="{D5CDD505-2E9C-101B-9397-08002B2CF9AE}" pid="5" name="Producer">
    <vt:lpwstr>Canva</vt:lpwstr>
  </property>
  <property fmtid="{D5CDD505-2E9C-101B-9397-08002B2CF9AE}" pid="6" name="ContentTypeId">
    <vt:lpwstr>0x01010081B702266FD489478555C5AE239A2430</vt:lpwstr>
  </property>
</Properties>
</file>